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979-8k_therapeu.htm"/>
      <w:bookmarkStart w:id="1" w:name="ksea02989798k_therapeu"/>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811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THERAPEUTICSMD,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811"/>
            <w:bookmarkEnd w:id="6"/>
            <w:r>
              <w:rPr>
                <w:rFonts w:ascii="Times New Roman;Times;Serif" w:hAnsi="Times New Roman;Times;Serif"/>
                <w:b/>
                <w:sz w:val="20"/>
              </w:rPr>
              <w:t>001-00100</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87-0233535</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951 Yamato Road, </w:t>
      </w:r>
      <w:bookmarkStart w:id="9" w:name="xdx_908_edei--EntityAddressAddressLine2_"/>
      <w:bookmarkEnd w:id="9"/>
      <w:r>
        <w:rPr>
          <w:rFonts w:ascii="Times New Roman;Times;Serif" w:hAnsi="Times New Roman;Times;Serif"/>
          <w:b/>
          <w:i w:val="false"/>
          <w:caps w:val="false"/>
          <w:smallCaps w:val="false"/>
          <w:sz w:val="20"/>
        </w:rPr>
        <w:t>Suite 220</w:t>
      </w:r>
    </w:p>
    <w:p>
      <w:pPr>
        <w:pStyle w:val="TextBody"/>
        <w:bidi w:val="0"/>
        <w:spacing w:before="0" w:after="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Boca Raton, </w:t>
      </w:r>
      <w:bookmarkStart w:id="11" w:name="xdx_90E_edei--EntityAddressStateOrProvin"/>
      <w:bookmarkEnd w:id="11"/>
      <w:r>
        <w:rPr>
          <w:rFonts w:ascii="Times New Roman;Times;Serif" w:hAnsi="Times New Roman;Times;Serif"/>
          <w:b/>
          <w:i w:val="false"/>
          <w:caps w:val="false"/>
          <w:smallCaps w:val="false"/>
          <w:sz w:val="20"/>
        </w:rPr>
        <w:t xml:space="preserve">FL </w:t>
      </w:r>
      <w:bookmarkStart w:id="12" w:name="xdx_90B_edei--EntityAddressPostalZipCode"/>
      <w:bookmarkEnd w:id="12"/>
      <w:r>
        <w:rPr>
          <w:rFonts w:ascii="Times New Roman;Times;Serif" w:hAnsi="Times New Roman;Times;Serif"/>
          <w:b/>
          <w:i w:val="false"/>
          <w:caps w:val="false"/>
          <w:smallCaps w:val="false"/>
          <w:sz w:val="20"/>
        </w:rPr>
        <w:t>33431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9_edei--CityAreaCode_c20260811__20"/>
      <w:bookmarkEnd w:id="13"/>
      <w:r>
        <w:rPr>
          <w:rFonts w:ascii="Times New Roman;Times;Serif" w:hAnsi="Times New Roman;Times;Serif"/>
          <w:b/>
          <w:i w:val="false"/>
          <w:caps w:val="false"/>
          <w:smallCaps w:val="false"/>
          <w:sz w:val="20"/>
        </w:rPr>
        <w:t xml:space="preserve">561) </w:t>
      </w:r>
      <w:bookmarkStart w:id="14" w:name="xdx_90C_edei--LocalPhoneNumber_c20260811"/>
      <w:bookmarkEnd w:id="14"/>
      <w:r>
        <w:rPr>
          <w:rFonts w:ascii="Times New Roman;Times;Serif" w:hAnsi="Times New Roman;Times;Serif"/>
          <w:b/>
          <w:i w:val="false"/>
          <w:caps w:val="false"/>
          <w:smallCaps w:val="false"/>
          <w:sz w:val="20"/>
        </w:rPr>
        <w:t>961-1900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D_edei--SolicitingMaterial_c202608"/>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415"/>
        <w:gridCol w:w="60"/>
        <w:gridCol w:w="390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9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9_edei--Security12bTitle_c20260811"/>
            <w:bookmarkEnd w:id="19"/>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0_edei--TradingSymbol_c20260811__2"/>
            <w:bookmarkEnd w:id="20"/>
            <w:r>
              <w:rPr>
                <w:rFonts w:ascii="Times New Roman;Times;Serif" w:hAnsi="Times New Roman;Times;Serif"/>
                <w:sz w:val="20"/>
              </w:rPr>
              <w:t>TXMD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5_edei--SecurityExchangeName_c2026"/>
            <w:bookmarkEnd w:id="21"/>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7.01 of this Current Report on Form 8-K is incorporated in this Item 2.02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TherapeuticsMD, Inc., a Nevada corporation (the “Company”), issued a press release announcing its financial results for the quarter ended June 30, 2026. A copy of the press release is furnished as Exhibit 99.1 to this Current Report on Form 8-K and is incorporated herein by reference.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the information contained in Exhibit 99.1 is furnished and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 regardless of any general incorporation language in the filing.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and expressly disclaims, any obligation to release publicly any updates or any changes in its expectations or any change in events, conditions, or circumstances on which any forward-looking statement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6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9225" w:type="dxa"/>
            <w:gridSpan w:val="2"/>
            <w:tcBorders/>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5" w:type="dxa"/>
            <w:tcBorders/>
            <w:shd w:fill="CCEEFF" w:val="clear"/>
            <w:tcMar>
              <w:bottom w:w="0" w:type="dxa"/>
            </w:tcMar>
            <w:vAlign w:val="center"/>
          </w:tcPr>
          <w:p>
            <w:pPr>
              <w:pStyle w:val="TableContents"/>
              <w:bidi w:val="0"/>
              <w:spacing w:before="0" w:after="283"/>
              <w:jc w:val="left"/>
              <w:rPr/>
            </w:pPr>
            <w:hyperlink w:anchor="ea029897901ex99-1.htm">
              <w:r>
                <w:rPr>
                  <w:rStyle w:val="InternetLink"/>
                  <w:rFonts w:ascii="Times New Roman;Times;Serif" w:hAnsi="Times New Roman;Times;Serif"/>
                  <w:sz w:val="20"/>
                </w:rPr>
                <w:t>Press Release from TherapeuticsMD, Inc., dated August 11, 2026, entitled “TherapeuticsMD Announces Second Quarter 2026 Financial Results.”</w:t>
              </w:r>
            </w:hyperlink>
          </w:p>
        </w:tc>
      </w:tr>
      <w:tr>
        <w:trPr/>
        <w:tc>
          <w:tcPr>
            <w:tcW w:w="980" w:type="dxa"/>
            <w:tcBorders/>
            <w:shd w:fill="FFFFFF" w:val="clear"/>
            <w:tcMar>
              <w:bottom w:w="0" w:type="dxa"/>
            </w:tcMar>
            <w:vAlign w:val="center"/>
          </w:tcPr>
          <w:p>
            <w:pPr>
              <w:pStyle w:val="TableContents"/>
              <w:bidi w:val="0"/>
              <w:spacing w:before="0" w:after="283"/>
              <w:jc w:val="left"/>
              <w:rPr/>
            </w:pPr>
            <w:r>
              <w:rPr/>
              <w:t> </w:t>
            </w:r>
          </w:p>
        </w:tc>
        <w:tc>
          <w:tcPr>
            <w:tcW w:w="9225" w:type="dxa"/>
            <w:gridSpan w:val="2"/>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(the cover page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865"/>
        <w:gridCol w:w="224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2026</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THERAPEUTICSMD, INC.</w:t>
            </w:r>
          </w:p>
        </w:tc>
      </w:tr>
      <w:tr>
        <w:trPr/>
        <w:tc>
          <w:tcPr>
            <w:tcW w:w="18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2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Walker</w:t>
            </w:r>
          </w:p>
        </w:tc>
      </w:tr>
      <w:tr>
        <w:trPr/>
        <w:tc>
          <w:tcPr>
            <w:tcW w:w="18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Walker</w:t>
            </w:r>
          </w:p>
        </w:tc>
      </w:tr>
      <w:tr>
        <w:trPr/>
        <w:tc>
          <w:tcPr>
            <w:tcW w:w="18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ea029897901ex99-1.htm"/>
      <w:bookmarkStart w:id="24" w:name="ksea029897901ex991"/>
      <w:bookmarkEnd w:id="23"/>
      <w:bookmarkEnd w:id="24"/>
      <w:r>
        <w:rPr>
          <w:b/>
        </w:rPr>
        <w:t>Exhibit 99.1</w:t>
      </w:r>
      <w:r>
        <w:br w:type="page"/>
      </w:r>
    </w:p>
    <w:p>
      <w:pPr>
        <w:pStyle w:val="TextBody"/>
        <w:bidi w:val="0"/>
        <w:jc w:val="center"/>
        <w:rPr/>
      </w:pPr>
      <w:r>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drawing>
          <wp:inline distT="0" distB="0" distL="0" distR="0">
            <wp:extent cx="31432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457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Announces Second Quarter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BOCA RATON, Fla.--(BUSINESS WIRE)—August 11, 2026 -- TherapeuticsMD, Inc. (“TherapeuticsMD” or the “Company”) (NASDAQ: TXMD), a company that owns rights to pharmaceutical royalties, today reported financial results for the three months ended June 30,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from Continuing Operations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from continuing operations totaled $164 thousand, compared to net income of $545 thousand for the second quarter of 2025.</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Revenues from Continuing Operations</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recorded $869 thousand in license revenue for the second quarter of 2026, compared to $952 thousand in license revenue for the second quarter of 2025. The decrease is attributable to changes in sales of licensed products.</w:t>
            </w:r>
          </w:p>
        </w:tc>
      </w:tr>
    </w:tbl>
    <w:p>
      <w:pPr>
        <w:pStyle w:val="TextBody"/>
        <w:bidi w:val="0"/>
        <w:spacing w:before="0" w:after="0"/>
        <w:ind w:left="720" w:right="0" w:hanging="36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 from Continuing Operations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 were $1.7 million, an increase of $38 thousand, or 2.3%, compared to $1.6 million for the second quarter of 2025. The increase is primarily attributable to higher general and administrative expenses and the write-off of patents.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Strategic Alternatives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continues to evaluate a variety of strategic alternatives that may include, but are not limited to, an acquisition, merger, other business combination, sale of assets, or other strategic transactions involving the Company. Although the Company is exploring potential strategic alternatives, there can be no assurance of a transaction, a successful outcome of these efforts, or the form or timing of any such outcome. The Company has not established a timetable for completion of this exploration process and does not intend to disclose further developments unless and until it is determined that disclosure is appropriate or necessary.</w:t>
            </w:r>
          </w:p>
        </w:tc>
      </w:tr>
    </w:tbl>
    <w:p>
      <w:pPr>
        <w:pStyle w:val="TextBody"/>
        <w:shd w:fill="FFFFFF" w:val="clear"/>
        <w:bidi w:val="0"/>
        <w:spacing w:before="0" w:after="0"/>
        <w:ind w:left="720" w:right="0" w:hanging="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June 30, 2026, the Company’s cash and cash equivalents totaled $9.2 million.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TherapeuticsMD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the Company changed its business to become a pharmaceutical royalty company, primarily collecting royalties from its licensees. The Company is no longer engaging in research and development or commercial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by TherapeuticsMD, Inc. may contain forward-looking statements. Forward-looking statements may include, but are not limited to, statements relating to TherapeuticsMD’s objectives, plans and strategies, including the exploration of potential strategic alternatives that may include, but are not limited to, an acquisition, merger, other business combination, sale of assets, or other strategic transactions, and the completion of such a review process and the potential timing, outcome and ability of any such strategic alternatives to create stockholder value, as well as statements, other than historical facts, that address activities, events or developments that the Company intends, expects, projects, believes or anticipates will or may occur in the future, including statements regarding the Company’s financial condition, liquidity, results of operations and royalty revenues. These statements are often characterized by terminology such as “believes,” “hopes,” “may,” “anticipates,” “should,” “intends,” “plans,” “will,” “expects,” “estimates,” “projects,” “positioned,” “strategy” and similar expressions and are based on assumptions and assessments made in light of management’s experience and perception of historical trends, current conditions, expected future developments and other factors believed to be appropriate. Forward-looking statements in this press release are made as of the date of this press release, and the Company undertakes no duty to update or revise any such statements, whether as a result of new information, future events or otherwise. Forward-looking statements are not guarantees of future performance and are subject to risks and uncertainties, many of which are outside of the Company’s control. Important factors that could cause actual results, developments and business decisions to differ materially from forward-looking statements are described in the sections titled “Risk Factors” in the Company’s filings with the Securities and Exchange Commission, including its most recent Annual Report on Form 10-K and Quarterly Reports on Form 10-Q, as well as reports on Form 8-K, and include the following: whether the Company’s licensees will be successful at commercializing the products that they licensed and acquired from TherapeuticsMD; the Company’s dependence upon third parties for the manufacture and supply the Company’s women’s healthcare products; whether coverage and reimbursement is available for the Company’s products; the outcome of the Company’s ongoing disputes with Mayne Pharma; time and costs associated with winding down the Company’s operations and whether the Company is successful in its pursuit of strategic alternatives; the Company’s ability to remain listed on Nasdaq; the impact of transitions in the Company’s senior management team; the impact of government regulation, including those resulting from healthcare reform and drug pricing initiatives; whether we are able to protect the proprietary nature of the intellectual property covering the Company’s hormone therapy pharmaceutical products; competition from branded and generic products; and the Company’s ability to continue as a going concern.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D. Walker</w:t>
        <w:br/>
        <w:t>Chief Executive Officer</w:t>
        <w:br/>
        <w:t>561-961-1900</w:t>
        <w:br/>
        <w:t>IR@TherapeuticsMD.com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Wilson</w:t>
        <w:br/>
        <w:t>In-Site Communications, Inc.</w:t>
        <w:br/>
        <w:t>212-452-2793</w:t>
        <w:br/>
        <w:t>lwilson@insitecony.com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TherapeuticsMD,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1416</Words>
  <Characters>8214</Characters>
  <CharactersWithSpaces>9629</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