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62218-10q_therapeutics.htm"/>
      <w:bookmarkStart w:id="1" w:name="ksea026221810q_therapeutics"/>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QUARTERLY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September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 xml:space="preserve">to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001-00100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jc w:val="center"/>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5090"/>
        <w:gridCol w:w="90"/>
        <w:gridCol w:w="1940"/>
      </w:tblGrid>
      <w:tr>
        <w:trPr/>
        <w:tc>
          <w:tcPr>
            <w:tcW w:w="50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90" w:type="dxa"/>
            <w:tcBorders/>
            <w:tcMar>
              <w:bottom w:w="0" w:type="dxa"/>
            </w:tcMar>
            <w:vAlign w:val="center"/>
          </w:tcPr>
          <w:p>
            <w:pPr>
              <w:pStyle w:val="TableContents"/>
              <w:bidi w:val="0"/>
              <w:spacing w:before="0" w:after="283"/>
              <w:jc w:val="center"/>
              <w:rPr/>
            </w:pPr>
            <w:r>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87-0233535</w:t>
            </w:r>
          </w:p>
        </w:tc>
      </w:tr>
      <w:tr>
        <w:trPr/>
        <w:tc>
          <w:tcPr>
            <w:tcW w:w="5090" w:type="dxa"/>
            <w:tcBorders/>
            <w:tcMar>
              <w:bottom w:w="0" w:type="dxa"/>
            </w:tcMar>
            <w:vAlign w:val="center"/>
          </w:tcPr>
          <w:p>
            <w:pPr>
              <w:pStyle w:val="TableContents"/>
              <w:bidi w:val="0"/>
              <w:spacing w:before="0" w:after="283"/>
              <w:jc w:val="center"/>
              <w:rPr>
                <w:b/>
              </w:rPr>
            </w:pPr>
            <w:r>
              <w:rPr>
                <w:b/>
              </w:rPr>
              <w:t>(State or other jurisdiction of</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940" w:type="dxa"/>
            <w:tcBorders/>
            <w:tcMar>
              <w:bottom w:w="0" w:type="dxa"/>
            </w:tcMar>
            <w:vAlign w:val="center"/>
          </w:tcPr>
          <w:p>
            <w:pPr>
              <w:pStyle w:val="TableContents"/>
              <w:bidi w:val="0"/>
              <w:spacing w:before="0" w:after="283"/>
              <w:jc w:val="center"/>
              <w:rPr>
                <w:b/>
              </w:rPr>
            </w:pPr>
            <w:r>
              <w:rPr>
                <w:b/>
              </w:rPr>
              <w:t>(I.R.S. Employer</w:t>
              <w:br/>
              <w:t>Identification No.)</w:t>
            </w:r>
          </w:p>
        </w:tc>
      </w:tr>
      <w:tr>
        <w:trPr/>
        <w:tc>
          <w:tcPr>
            <w:tcW w:w="5090" w:type="dxa"/>
            <w:tcBorders/>
            <w:tcMar>
              <w:bottom w:w="0" w:type="dxa"/>
            </w:tcMar>
            <w:vAlign w:val="center"/>
          </w:tcPr>
          <w:p>
            <w:pPr>
              <w:pStyle w:val="TableContents"/>
              <w:bidi w:val="0"/>
              <w:spacing w:before="0" w:after="283"/>
              <w:jc w:val="center"/>
              <w:rPr/>
            </w:pPr>
            <w:r>
              <w:rPr/>
              <w:t> </w:t>
            </w:r>
          </w:p>
        </w:tc>
        <w:tc>
          <w:tcPr>
            <w:tcW w:w="2030" w:type="dxa"/>
            <w:gridSpan w:val="2"/>
            <w:tcBorders/>
            <w:tcMar>
              <w:bottom w:w="0" w:type="dxa"/>
            </w:tcMar>
            <w:vAlign w:val="center"/>
          </w:tcPr>
          <w:p>
            <w:pPr>
              <w:pStyle w:val="TableContents"/>
              <w:bidi w:val="0"/>
              <w:spacing w:before="0" w:after="283"/>
              <w:jc w:val="center"/>
              <w:rPr/>
            </w:pPr>
            <w:r>
              <w:rPr/>
              <w:t> </w:t>
            </w:r>
          </w:p>
        </w:tc>
      </w:tr>
      <w:tr>
        <w:trPr/>
        <w:tc>
          <w:tcPr>
            <w:tcW w:w="5090" w:type="dxa"/>
            <w:tcBorders>
              <w:bottom w:val="single" w:sz="12" w:space="0" w:color="000000"/>
            </w:tcBorders>
            <w:vAlign w:val="center"/>
          </w:tcPr>
          <w:p>
            <w:pPr>
              <w:pStyle w:val="TableContents"/>
              <w:bidi w:val="0"/>
              <w:spacing w:before="0" w:after="283"/>
              <w:jc w:val="center"/>
              <w:rPr>
                <w:b/>
              </w:rPr>
            </w:pPr>
            <w:r>
              <w:rPr>
                <w:b/>
              </w:rPr>
              <w:t>951 Yamato Road, Suite 220 Boca Raton, Florida</w:t>
            </w:r>
          </w:p>
        </w:tc>
        <w:tc>
          <w:tcPr>
            <w:tcW w:w="90" w:type="dxa"/>
            <w:tcBorders/>
            <w:tcMar>
              <w:bottom w:w="0" w:type="dxa"/>
            </w:tcMar>
            <w:vAlign w:val="center"/>
          </w:tcPr>
          <w:p>
            <w:pPr>
              <w:pStyle w:val="TableContents"/>
              <w:bidi w:val="0"/>
              <w:spacing w:before="0" w:after="283"/>
              <w:jc w:val="center"/>
              <w:rPr/>
            </w:pPr>
            <w:r>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33431</w:t>
            </w:r>
          </w:p>
        </w:tc>
      </w:tr>
      <w:tr>
        <w:trPr/>
        <w:tc>
          <w:tcPr>
            <w:tcW w:w="50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0" w:type="dxa"/>
            <w:tcBorders/>
            <w:tcMar>
              <w:bottom w:w="0" w:type="dxa"/>
            </w:tcMar>
            <w:vAlign w:val="center"/>
          </w:tcPr>
          <w:p>
            <w:pPr>
              <w:pStyle w:val="TableContents"/>
              <w:bidi w:val="0"/>
              <w:spacing w:before="0" w:after="283"/>
              <w:jc w:val="center"/>
              <w:rPr/>
            </w:pPr>
            <w:r>
              <w:rPr/>
              <w:t> </w:t>
            </w:r>
          </w:p>
        </w:tc>
        <w:tc>
          <w:tcPr>
            <w:tcW w:w="194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561-961-1900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75" w:type="dxa"/>
        <w:jc w:val="left"/>
        <w:tblInd w:w="0" w:type="dxa"/>
        <w:tblLayout w:type="fixed"/>
        <w:tblCellMar>
          <w:top w:w="0" w:type="dxa"/>
          <w:left w:w="0" w:type="dxa"/>
          <w:bottom w:w="28" w:type="dxa"/>
          <w:right w:w="0" w:type="dxa"/>
        </w:tblCellMar>
      </w:tblPr>
      <w:tblGrid>
        <w:gridCol w:w="3710"/>
        <w:gridCol w:w="90"/>
        <w:gridCol w:w="1415"/>
        <w:gridCol w:w="90"/>
        <w:gridCol w:w="3770"/>
      </w:tblGrid>
      <w:tr>
        <w:trPr/>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par value $0.001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TXMD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1955"/>
        <w:gridCol w:w="260"/>
        <w:gridCol w:w="2255"/>
        <w:gridCol w:w="305"/>
      </w:tblGrid>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11, 2025, there were 11,574,362 shares of the registrant’s common stock, par value $0.001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755"/>
        <w:gridCol w:w="7040"/>
        <w:gridCol w:w="90"/>
        <w:gridCol w:w="485"/>
      </w:tblGrid>
      <w:tr>
        <w:trPr/>
        <w:tc>
          <w:tcPr>
            <w:tcW w:w="77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779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 xml:space="preserve">Part I - Financial Information </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04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Financial statements (unaudited)</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w:t>
              </w:r>
            </w:hyperlink>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55" w:type="dxa"/>
            <w:tcBorders/>
            <w:shd w:fill="CCEEFF" w:val="clear"/>
            <w:vAlign w:val="center"/>
          </w:tcPr>
          <w:p>
            <w:pPr>
              <w:pStyle w:val="TableContents"/>
              <w:bidi w:val="0"/>
              <w:spacing w:before="0" w:after="283"/>
              <w:jc w:val="left"/>
              <w:rPr/>
            </w:pPr>
            <w:r>
              <w:rPr/>
              <w:t> </w:t>
            </w:r>
          </w:p>
        </w:tc>
        <w:tc>
          <w:tcPr>
            <w:tcW w:w="704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755"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Stockholders’ Equity</w:t>
              </w:r>
            </w:hyperlink>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755" w:type="dxa"/>
            <w:tcBorders/>
            <w:shd w:fill="CCEEFF" w:val="clear"/>
            <w:vAlign w:val="center"/>
          </w:tcPr>
          <w:p>
            <w:pPr>
              <w:pStyle w:val="TableContents"/>
              <w:bidi w:val="0"/>
              <w:spacing w:before="0" w:after="283"/>
              <w:jc w:val="left"/>
              <w:rPr/>
            </w:pPr>
            <w:r>
              <w:rPr/>
              <w:t> </w:t>
            </w:r>
          </w:p>
        </w:tc>
        <w:tc>
          <w:tcPr>
            <w:tcW w:w="704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Cash Flows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755"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hyperlink w:anchor="a_007">
              <w:r>
                <w:rPr>
                  <w:rStyle w:val="InternetLink"/>
                  <w:rFonts w:ascii="Times New Roman;Times;Serif" w:hAnsi="Times New Roman;Times;Serif"/>
                  <w:sz w:val="20"/>
                </w:rPr>
                <w:t>Notes to Unaudited Condensed Consolidated Financial Statements</w:t>
              </w:r>
            </w:hyperlink>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04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040"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Quantitative and qualitative disclosures about market risk</w:t>
              </w:r>
            </w:hyperlink>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04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Controls and procedures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7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795" w:type="dxa"/>
            <w:gridSpan w:val="2"/>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 xml:space="preserve">Part II - Other Information </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704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Legal proceedings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7040" w:type="dxa"/>
            <w:tcBorders/>
            <w:vAlign w:val="center"/>
          </w:tcPr>
          <w:p>
            <w:pPr>
              <w:pStyle w:val="TableContents"/>
              <w:bidi w:val="0"/>
              <w:spacing w:before="0" w:after="283"/>
              <w:jc w:val="left"/>
              <w:rPr/>
            </w:pPr>
            <w:hyperlink w:anchor="a_013">
              <w:r>
                <w:rPr>
                  <w:rStyle w:val="InternetLink"/>
                  <w:rFonts w:ascii="Times New Roman;Times;Serif" w:hAnsi="Times New Roman;Times;Serif"/>
                  <w:sz w:val="20"/>
                </w:rPr>
                <w:t>Risk factors</w:t>
              </w:r>
            </w:hyperlink>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704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Unregistered sales of equity securities and use of proceeds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7040" w:type="dxa"/>
            <w:tcBorders/>
            <w:vAlign w:val="center"/>
          </w:tcPr>
          <w:p>
            <w:pPr>
              <w:pStyle w:val="TableContents"/>
              <w:bidi w:val="0"/>
              <w:spacing w:before="0" w:after="283"/>
              <w:jc w:val="left"/>
              <w:rPr/>
            </w:pPr>
            <w:hyperlink w:anchor="a_015">
              <w:r>
                <w:rPr>
                  <w:rStyle w:val="InternetLink"/>
                  <w:rFonts w:ascii="Times New Roman;Times;Serif" w:hAnsi="Times New Roman;Times;Serif"/>
                  <w:sz w:val="20"/>
                </w:rPr>
                <w:t>Defaults upon senior securities</w:t>
              </w:r>
            </w:hyperlink>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704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Mine safety disclosures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7040" w:type="dxa"/>
            <w:tcBorders/>
            <w:vAlign w:val="center"/>
          </w:tcPr>
          <w:p>
            <w:pPr>
              <w:pStyle w:val="TableContents"/>
              <w:bidi w:val="0"/>
              <w:spacing w:before="0" w:after="283"/>
              <w:jc w:val="left"/>
              <w:rPr/>
            </w:pPr>
            <w:hyperlink w:anchor="a_017">
              <w:r>
                <w:rPr>
                  <w:rStyle w:val="InternetLink"/>
                  <w:rFonts w:ascii="Times New Roman;Times;Serif" w:hAnsi="Times New Roman;Times;Serif"/>
                  <w:sz w:val="20"/>
                </w:rPr>
                <w:t>Other information</w:t>
              </w:r>
            </w:hyperlink>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704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Exhibits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77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r>
      <w:tr>
        <w:trPr/>
        <w:tc>
          <w:tcPr>
            <w:tcW w:w="7795"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Signatures</w:t>
              </w:r>
            </w:hyperlink>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Part I - Financial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 xml:space="preserve">Item 1.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TherapeuticsMD, Inc. and Subsidiaries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Balance Sheets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30"/>
        <w:gridCol w:w="90"/>
        <w:gridCol w:w="223"/>
        <w:gridCol w:w="1192"/>
        <w:gridCol w:w="125"/>
        <w:gridCol w:w="90"/>
        <w:gridCol w:w="219"/>
        <w:gridCol w:w="1166"/>
        <w:gridCol w:w="170"/>
      </w:tblGrid>
      <w:tr>
        <w:trPr/>
        <w:tc>
          <w:tcPr>
            <w:tcW w:w="69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pPr>
            <w:r>
              <w:rPr/>
              <w:t>September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pPr>
            <w:r>
              <w:rPr/>
              <w:t>December 31,</w:t>
              <w:br/>
              <w:t>2024</w:t>
            </w:r>
          </w:p>
        </w:tc>
        <w:tc>
          <w:tcPr>
            <w:tcW w:w="170"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7,115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5,059</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Royalty receivable, current portion</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3,665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3,562</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Prepaid and other current assets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3,723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3,638</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14,503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12,259</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License rights and other intangible assets, net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3,914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4,321</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Right of use assets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5,515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6,102</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Royalty receivable, long term</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14,269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16,010</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470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130</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38,671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38,822</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Liabilities and stockholders’ equity:</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right"/>
              <w:rPr/>
            </w:pPr>
            <w:r>
              <w:rPr/>
              <w:t>263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1166" w:type="dxa"/>
            <w:tcBorders/>
            <w:vAlign w:val="center"/>
          </w:tcPr>
          <w:p>
            <w:pPr>
              <w:pStyle w:val="TableContents"/>
              <w:bidi w:val="0"/>
              <w:spacing w:before="0" w:after="283"/>
              <w:jc w:val="right"/>
              <w:rPr/>
            </w:pPr>
            <w:r>
              <w:rPr/>
              <w:t>258</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2,015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2,127</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Current liabilities of discontinued operations</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2,667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2,781</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4,945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5,166</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5,411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5,542</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Other non-current liabilities</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871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744</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11,227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11,452</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Commitments and contingencies (Note 6)</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Common stock, par value $0.001; 32,000 shares authorized, 11,574 and 11,532 issued and outstanding as of September 30, 2025 and December 31, 2024</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192" w:type="dxa"/>
            <w:tcBorders/>
            <w:vAlign w:val="center"/>
          </w:tcPr>
          <w:p>
            <w:pPr>
              <w:pStyle w:val="TableContents"/>
              <w:bidi w:val="0"/>
              <w:spacing w:before="0" w:after="283"/>
              <w:jc w:val="right"/>
              <w:rPr/>
            </w:pPr>
            <w:r>
              <w:rPr/>
              <w:t>979,205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979,181</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(951,772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(951,822</w:t>
            </w:r>
          </w:p>
        </w:tc>
        <w:tc>
          <w:tcPr>
            <w:tcW w:w="170" w:type="dxa"/>
            <w:tcBorders/>
            <w:shd w:fill="CCEEFF" w:val="clear"/>
            <w:vAlign w:val="center"/>
          </w:tcPr>
          <w:p>
            <w:pPr>
              <w:pStyle w:val="TableContents"/>
              <w:bidi w:val="0"/>
              <w:spacing w:before="0" w:after="283"/>
              <w:jc w:val="left"/>
              <w:rPr/>
            </w:pPr>
            <w:r>
              <w:rPr/>
              <w:t>)</w:t>
            </w:r>
          </w:p>
        </w:tc>
      </w:tr>
      <w:tr>
        <w:trPr/>
        <w:tc>
          <w:tcPr>
            <w:tcW w:w="6930"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tcMar>
              <w:bottom w:w="28" w:type="dxa"/>
            </w:tcMar>
            <w:vAlign w:val="center"/>
          </w:tcPr>
          <w:p>
            <w:pPr>
              <w:pStyle w:val="TableContents"/>
              <w:bidi w:val="0"/>
              <w:spacing w:before="0" w:after="283"/>
              <w:jc w:val="right"/>
              <w:rPr/>
            </w:pPr>
            <w:r>
              <w:rPr/>
              <w:t>27,444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27,370</w:t>
            </w:r>
          </w:p>
        </w:tc>
        <w:tc>
          <w:tcPr>
            <w:tcW w:w="170"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38,671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38,822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TherapeuticsMD, Inc. and Subsidiaries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 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04"/>
        <w:gridCol w:w="90"/>
        <w:gridCol w:w="176"/>
        <w:gridCol w:w="737"/>
        <w:gridCol w:w="129"/>
        <w:gridCol w:w="92"/>
        <w:gridCol w:w="176"/>
        <w:gridCol w:w="737"/>
        <w:gridCol w:w="125"/>
        <w:gridCol w:w="90"/>
        <w:gridCol w:w="170"/>
        <w:gridCol w:w="710"/>
        <w:gridCol w:w="125"/>
        <w:gridCol w:w="90"/>
        <w:gridCol w:w="170"/>
        <w:gridCol w:w="710"/>
        <w:gridCol w:w="174"/>
      </w:tblGrid>
      <w:tr>
        <w:trPr/>
        <w:tc>
          <w:tcPr>
            <w:tcW w:w="570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47"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pPr>
            <w:r>
              <w:rPr/>
              <w:t>Nine Months Ended</w:t>
              <w:br/>
              <w:t>September 30,</w:t>
            </w:r>
          </w:p>
        </w:tc>
        <w:tc>
          <w:tcPr>
            <w:tcW w:w="174" w:type="dxa"/>
            <w:tcBorders/>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4" w:type="dxa"/>
            <w:tcBorders/>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Revenue, net:</w:t>
            </w:r>
          </w:p>
        </w:tc>
        <w:tc>
          <w:tcPr>
            <w:tcW w:w="9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center"/>
              <w:rPr/>
            </w:pPr>
            <w:r>
              <w:rPr/>
              <w:t> </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174" w:type="dxa"/>
            <w:tcBorders/>
            <w:vAlign w:val="center"/>
          </w:tcPr>
          <w:p>
            <w:pPr>
              <w:pStyle w:val="TableContents"/>
              <w:bidi w:val="0"/>
              <w:spacing w:before="0" w:after="283"/>
              <w:jc w:val="left"/>
              <w:rPr/>
            </w:pPr>
            <w:r>
              <w:rPr/>
              <w:t> </w:t>
            </w:r>
          </w:p>
        </w:tc>
      </w:tr>
      <w:tr>
        <w:trPr/>
        <w:tc>
          <w:tcPr>
            <w:tcW w:w="5704" w:type="dxa"/>
            <w:tcBorders/>
            <w:shd w:fill="CCEEFF" w:val="clear"/>
            <w:vAlign w:val="center"/>
          </w:tcPr>
          <w:p>
            <w:pPr>
              <w:pStyle w:val="TableContents"/>
              <w:bidi w:val="0"/>
              <w:spacing w:before="0" w:after="283"/>
              <w:jc w:val="left"/>
              <w:rPr/>
            </w:pPr>
            <w:r>
              <w:rPr/>
              <w:t>License revenue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283"/>
              <w:jc w:val="right"/>
              <w:rPr/>
            </w:pPr>
            <w:r>
              <w:rPr/>
              <w:t>784</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283"/>
              <w:jc w:val="right"/>
              <w:rPr/>
            </w:pPr>
            <w:r>
              <w:rPr/>
              <w:t>547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2,129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1,094</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5704"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1,518</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1,585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4,560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4,884</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Impairment of long-lived assets (Note 4)</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right"/>
              <w:rPr/>
            </w:pPr>
            <w:r>
              <w:rPr/>
              <w:t>—</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1,261</w:t>
            </w:r>
          </w:p>
        </w:tc>
        <w:tc>
          <w:tcPr>
            <w:tcW w:w="174" w:type="dxa"/>
            <w:tcBorders/>
            <w:vAlign w:val="center"/>
          </w:tcPr>
          <w:p>
            <w:pPr>
              <w:pStyle w:val="TableContents"/>
              <w:bidi w:val="0"/>
              <w:spacing w:before="0" w:after="283"/>
              <w:jc w:val="left"/>
              <w:rPr/>
            </w:pPr>
            <w:r>
              <w:rPr/>
              <w:t> </w:t>
            </w:r>
          </w:p>
        </w:tc>
      </w:tr>
      <w:tr>
        <w:trPr/>
        <w:tc>
          <w:tcPr>
            <w:tcW w:w="5704" w:type="dxa"/>
            <w:tcBorders/>
            <w:shd w:fill="CCEEFF" w:val="clear"/>
            <w:vAlign w:val="center"/>
          </w:tcPr>
          <w:p>
            <w:pPr>
              <w:pStyle w:val="TableContents"/>
              <w:bidi w:val="0"/>
              <w:spacing w:before="0" w:after="283"/>
              <w:jc w:val="left"/>
              <w:rPr/>
            </w:pPr>
            <w:r>
              <w:rPr/>
              <w:t>Write-off of patents and trademarks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32</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96</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409</w:t>
            </w:r>
          </w:p>
        </w:tc>
        <w:tc>
          <w:tcPr>
            <w:tcW w:w="174" w:type="dxa"/>
            <w:tcBorders/>
            <w:vAlign w:val="center"/>
          </w:tcPr>
          <w:p>
            <w:pPr>
              <w:pStyle w:val="TableContents"/>
              <w:bidi w:val="0"/>
              <w:spacing w:before="0" w:after="283"/>
              <w:jc w:val="left"/>
              <w:rPr/>
            </w:pPr>
            <w:r>
              <w:rPr/>
              <w:t> </w:t>
            </w:r>
          </w:p>
        </w:tc>
      </w:tr>
      <w:tr>
        <w:trPr/>
        <w:tc>
          <w:tcPr>
            <w:tcW w:w="5704"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1,646</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1,681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4,967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6,554</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(862</w:t>
            </w:r>
          </w:p>
        </w:tc>
        <w:tc>
          <w:tcPr>
            <w:tcW w:w="129"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(1,134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(2,838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(5,460</w:t>
            </w:r>
          </w:p>
        </w:tc>
        <w:tc>
          <w:tcPr>
            <w:tcW w:w="174" w:type="dxa"/>
            <w:tcBorders/>
            <w:vAlign w:val="center"/>
          </w:tcPr>
          <w:p>
            <w:pPr>
              <w:pStyle w:val="TableContents"/>
              <w:bidi w:val="0"/>
              <w:spacing w:before="0" w:after="283"/>
              <w:jc w:val="left"/>
              <w:rPr/>
            </w:pPr>
            <w:r>
              <w:rPr/>
              <w:t>)</w:t>
            </w:r>
          </w:p>
        </w:tc>
      </w:tr>
      <w:tr>
        <w:trPr/>
        <w:tc>
          <w:tcPr>
            <w:tcW w:w="5704"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Interest expense and other financing costs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w:t>
            </w:r>
          </w:p>
        </w:tc>
        <w:tc>
          <w:tcPr>
            <w:tcW w:w="129"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w:t>
            </w:r>
          </w:p>
        </w:tc>
        <w:tc>
          <w:tcPr>
            <w:tcW w:w="174" w:type="dxa"/>
            <w:tcBorders/>
            <w:vAlign w:val="center"/>
          </w:tcPr>
          <w:p>
            <w:pPr>
              <w:pStyle w:val="TableContents"/>
              <w:bidi w:val="0"/>
              <w:spacing w:before="0" w:after="283"/>
              <w:jc w:val="left"/>
              <w:rPr/>
            </w:pPr>
            <w:r>
              <w:rPr/>
              <w:t>)</w:t>
            </w:r>
          </w:p>
        </w:tc>
      </w:tr>
      <w:tr>
        <w:trPr/>
        <w:tc>
          <w:tcPr>
            <w:tcW w:w="5704" w:type="dxa"/>
            <w:tcBorders/>
            <w:shd w:fill="CCEEFF" w:val="clear"/>
            <w:vAlign w:val="center"/>
          </w:tcPr>
          <w:p>
            <w:pPr>
              <w:pStyle w:val="TableContents"/>
              <w:bidi w:val="0"/>
              <w:spacing w:before="0" w:after="283"/>
              <w:jc w:val="left"/>
              <w:rPr/>
            </w:pPr>
            <w:r>
              <w:rPr/>
              <w:t>Sublease income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534</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1,019</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Miscellaneous income</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381</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tcMar>
              <w:bottom w:w="28" w:type="dxa"/>
            </w:tcMar>
            <w:vAlign w:val="center"/>
          </w:tcPr>
          <w:p>
            <w:pPr>
              <w:pStyle w:val="TableContents"/>
              <w:bidi w:val="0"/>
              <w:spacing w:before="0" w:after="283"/>
              <w:jc w:val="right"/>
              <w:rPr/>
            </w:pPr>
            <w:r>
              <w:rPr/>
              <w:t>295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1,452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2,023</w:t>
            </w:r>
          </w:p>
        </w:tc>
        <w:tc>
          <w:tcPr>
            <w:tcW w:w="174" w:type="dxa"/>
            <w:tcBorders/>
            <w:vAlign w:val="center"/>
          </w:tcPr>
          <w:p>
            <w:pPr>
              <w:pStyle w:val="TableContents"/>
              <w:bidi w:val="0"/>
              <w:spacing w:before="0" w:after="283"/>
              <w:jc w:val="left"/>
              <w:rPr/>
            </w:pPr>
            <w:r>
              <w:rPr/>
              <w:t> </w:t>
            </w:r>
          </w:p>
        </w:tc>
      </w:tr>
      <w:tr>
        <w:trPr/>
        <w:tc>
          <w:tcPr>
            <w:tcW w:w="5704"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912</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2,765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3,034</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Income (loss) from continuing operations before income taxes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50</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(2,426</w:t>
            </w:r>
          </w:p>
        </w:tc>
        <w:tc>
          <w:tcPr>
            <w:tcW w:w="174" w:type="dxa"/>
            <w:tcBorders/>
            <w:vAlign w:val="center"/>
          </w:tcPr>
          <w:p>
            <w:pPr>
              <w:pStyle w:val="TableContents"/>
              <w:bidi w:val="0"/>
              <w:spacing w:before="0" w:after="283"/>
              <w:jc w:val="left"/>
              <w:rPr/>
            </w:pPr>
            <w:r>
              <w:rPr/>
              <w:t>)</w:t>
            </w:r>
          </w:p>
        </w:tc>
      </w:tr>
      <w:tr>
        <w:trPr/>
        <w:tc>
          <w:tcPr>
            <w:tcW w:w="5704" w:type="dxa"/>
            <w:tcBorders/>
            <w:shd w:fill="CCEEFF" w:val="clear"/>
            <w:vAlign w:val="center"/>
          </w:tcPr>
          <w:p>
            <w:pPr>
              <w:pStyle w:val="TableContents"/>
              <w:bidi w:val="0"/>
              <w:spacing w:before="0" w:after="283"/>
              <w:jc w:val="left"/>
              <w:rPr/>
            </w:pPr>
            <w:r>
              <w:rPr/>
              <w:t>Income tax benefit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Income (loss) from continuing operations, net of income taxes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50</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(2,426</w:t>
            </w:r>
          </w:p>
        </w:tc>
        <w:tc>
          <w:tcPr>
            <w:tcW w:w="174" w:type="dxa"/>
            <w:tcBorders/>
            <w:vAlign w:val="center"/>
          </w:tcPr>
          <w:p>
            <w:pPr>
              <w:pStyle w:val="TableContents"/>
              <w:bidi w:val="0"/>
              <w:spacing w:before="0" w:after="283"/>
              <w:jc w:val="left"/>
              <w:rPr/>
            </w:pPr>
            <w:r>
              <w:rPr/>
              <w:t>)</w:t>
            </w:r>
          </w:p>
        </w:tc>
      </w:tr>
      <w:tr>
        <w:trPr/>
        <w:tc>
          <w:tcPr>
            <w:tcW w:w="5704" w:type="dxa"/>
            <w:tcBorders/>
            <w:shd w:fill="CCEEFF" w:val="clear"/>
            <w:vAlign w:val="center"/>
          </w:tcPr>
          <w:p>
            <w:pPr>
              <w:pStyle w:val="TableContents"/>
              <w:bidi w:val="0"/>
              <w:spacing w:before="0" w:after="283"/>
              <w:jc w:val="left"/>
              <w:rPr/>
            </w:pPr>
            <w:r>
              <w:rPr/>
              <w:t>Income (loss)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102</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74" w:type="dxa"/>
            <w:tcBorders/>
            <w:shd w:fill="CCEEFF" w:val="clear"/>
            <w:vAlign w:val="center"/>
          </w:tcPr>
          <w:p>
            <w:pPr>
              <w:pStyle w:val="TableContents"/>
              <w:bidi w:val="0"/>
              <w:spacing w:before="0" w:after="283"/>
              <w:jc w:val="left"/>
              <w:rPr/>
            </w:pPr>
            <w:r>
              <w:rPr/>
              <w:t>)</w:t>
            </w:r>
          </w:p>
        </w:tc>
      </w:tr>
      <w:tr>
        <w:trPr/>
        <w:tc>
          <w:tcPr>
            <w:tcW w:w="5704" w:type="dxa"/>
            <w:tcBorders/>
            <w:vAlign w:val="center"/>
          </w:tcPr>
          <w:p>
            <w:pPr>
              <w:pStyle w:val="TableContents"/>
              <w:bidi w:val="0"/>
              <w:spacing w:before="0" w:after="283"/>
              <w:jc w:val="left"/>
              <w:rPr/>
            </w:pPr>
            <w:r>
              <w:rPr/>
              <w:t>Net Income (loss)</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737" w:type="dxa"/>
            <w:tcBorders>
              <w:bottom w:val="double" w:sz="10" w:space="0" w:color="000000"/>
            </w:tcBorders>
            <w:tcMar>
              <w:bottom w:w="28" w:type="dxa"/>
            </w:tcMar>
            <w:vAlign w:val="center"/>
          </w:tcPr>
          <w:p>
            <w:pPr>
              <w:pStyle w:val="TableContents"/>
              <w:bidi w:val="0"/>
              <w:spacing w:before="0" w:after="283"/>
              <w:jc w:val="right"/>
              <w:rPr/>
            </w:pPr>
            <w:r>
              <w:rPr/>
              <w:t>152</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737" w:type="dxa"/>
            <w:tcBorders>
              <w:bottom w:val="double" w:sz="10" w:space="0" w:color="000000"/>
            </w:tcBorders>
            <w:tcMar>
              <w:bottom w:w="28" w:type="dxa"/>
            </w:tcMar>
            <w:vAlign w:val="center"/>
          </w:tcPr>
          <w:p>
            <w:pPr>
              <w:pStyle w:val="TableContents"/>
              <w:bidi w:val="0"/>
              <w:spacing w:before="0" w:after="283"/>
              <w:jc w:val="right"/>
              <w:rPr/>
            </w:pPr>
            <w:r>
              <w:rPr/>
              <w:t>(609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(2,433</w:t>
            </w:r>
          </w:p>
        </w:tc>
        <w:tc>
          <w:tcPr>
            <w:tcW w:w="174" w:type="dxa"/>
            <w:tcBorders/>
            <w:vAlign w:val="center"/>
          </w:tcPr>
          <w:p>
            <w:pPr>
              <w:pStyle w:val="TableContents"/>
              <w:bidi w:val="0"/>
              <w:spacing w:before="0" w:after="283"/>
              <w:jc w:val="left"/>
              <w:rPr/>
            </w:pPr>
            <w:r>
              <w:rPr/>
              <w:t>)</w:t>
            </w:r>
          </w:p>
        </w:tc>
      </w:tr>
      <w:tr>
        <w:trPr/>
        <w:tc>
          <w:tcPr>
            <w:tcW w:w="5704" w:type="dxa"/>
            <w:tcBorders/>
            <w:shd w:fill="CCEEFF" w:val="clear"/>
            <w:vAlign w:val="center"/>
          </w:tcPr>
          <w:p>
            <w:pPr>
              <w:pStyle w:val="TableContents"/>
              <w:bidi w:val="0"/>
              <w:spacing w:before="0" w:after="283"/>
              <w:jc w:val="left"/>
              <w:rPr/>
            </w:pPr>
            <w:r>
              <w:rPr/>
              <w:t>Net Income (loss) per common share, basic and diluted:</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   </w:t>
            </w:r>
            <w:r>
              <w:rPr/>
              <w:t>Continuing operations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0.00</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(0.05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(0.21</w:t>
            </w:r>
          </w:p>
        </w:tc>
        <w:tc>
          <w:tcPr>
            <w:tcW w:w="174" w:type="dxa"/>
            <w:tcBorders/>
            <w:vAlign w:val="center"/>
          </w:tcPr>
          <w:p>
            <w:pPr>
              <w:pStyle w:val="TableContents"/>
              <w:bidi w:val="0"/>
              <w:spacing w:before="0" w:after="283"/>
              <w:jc w:val="left"/>
              <w:rPr/>
            </w:pPr>
            <w:r>
              <w:rPr/>
              <w:t>)</w:t>
            </w:r>
          </w:p>
        </w:tc>
      </w:tr>
      <w:tr>
        <w:trPr/>
        <w:tc>
          <w:tcPr>
            <w:tcW w:w="5704" w:type="dxa"/>
            <w:tcBorders/>
            <w:shd w:fill="CCEEFF" w:val="clear"/>
            <w:vAlign w:val="center"/>
          </w:tcPr>
          <w:p>
            <w:pPr>
              <w:pStyle w:val="TableContents"/>
              <w:bidi w:val="0"/>
              <w:spacing w:before="0" w:after="283"/>
              <w:jc w:val="left"/>
              <w:rPr/>
            </w:pPr>
            <w:r>
              <w:rPr/>
              <w:t>   </w:t>
            </w:r>
            <w:r>
              <w:rPr/>
              <w:t>Discontinued operations, net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pPr>
            <w:r>
              <w:rPr/>
              <w:t>(0.00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(0.00</w:t>
            </w:r>
          </w:p>
        </w:tc>
        <w:tc>
          <w:tcPr>
            <w:tcW w:w="174" w:type="dxa"/>
            <w:tcBorders/>
            <w:shd w:fill="CCEEFF" w:val="clear"/>
            <w:vAlign w:val="center"/>
          </w:tcPr>
          <w:p>
            <w:pPr>
              <w:pStyle w:val="TableContents"/>
              <w:bidi w:val="0"/>
              <w:spacing w:before="0" w:after="283"/>
              <w:jc w:val="left"/>
              <w:rPr/>
            </w:pPr>
            <w:r>
              <w:rPr/>
              <w:t>)</w:t>
            </w:r>
          </w:p>
        </w:tc>
      </w:tr>
      <w:tr>
        <w:trPr/>
        <w:tc>
          <w:tcPr>
            <w:tcW w:w="5704" w:type="dxa"/>
            <w:tcBorders/>
            <w:vAlign w:val="center"/>
          </w:tcPr>
          <w:p>
            <w:pPr>
              <w:pStyle w:val="TableContents"/>
              <w:bidi w:val="0"/>
              <w:spacing w:before="0" w:after="283"/>
              <w:jc w:val="left"/>
              <w:rPr/>
            </w:pPr>
            <w:r>
              <w:rPr/>
              <w:t>Net Income (loss) per common share, basic and diluted</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737" w:type="dxa"/>
            <w:tcBorders>
              <w:bottom w:val="double" w:sz="10" w:space="0" w:color="000000"/>
            </w:tcBorders>
            <w:tcMar>
              <w:bottom w:w="28" w:type="dxa"/>
            </w:tcMar>
            <w:vAlign w:val="center"/>
          </w:tcPr>
          <w:p>
            <w:pPr>
              <w:pStyle w:val="TableContents"/>
              <w:bidi w:val="0"/>
              <w:spacing w:before="0" w:after="283"/>
              <w:jc w:val="right"/>
              <w:rPr/>
            </w:pPr>
            <w:r>
              <w:rPr/>
              <w:t>0.01</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737" w:type="dxa"/>
            <w:tcBorders>
              <w:bottom w:val="double" w:sz="10" w:space="0" w:color="000000"/>
            </w:tcBorders>
            <w:tcMar>
              <w:bottom w:w="28" w:type="dxa"/>
            </w:tcMar>
            <w:vAlign w:val="center"/>
          </w:tcPr>
          <w:p>
            <w:pPr>
              <w:pStyle w:val="TableContents"/>
              <w:bidi w:val="0"/>
              <w:spacing w:before="0" w:after="283"/>
              <w:jc w:val="right"/>
              <w:rPr/>
            </w:pPr>
            <w:r>
              <w:rPr/>
              <w:t>(0.05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(0.21</w:t>
            </w:r>
          </w:p>
        </w:tc>
        <w:tc>
          <w:tcPr>
            <w:tcW w:w="174" w:type="dxa"/>
            <w:tcBorders/>
            <w:vAlign w:val="center"/>
          </w:tcPr>
          <w:p>
            <w:pPr>
              <w:pStyle w:val="TableContents"/>
              <w:bidi w:val="0"/>
              <w:spacing w:before="0" w:after="283"/>
              <w:jc w:val="left"/>
              <w:rPr/>
            </w:pPr>
            <w:r>
              <w:rPr/>
              <w:t>)</w:t>
            </w:r>
          </w:p>
        </w:tc>
      </w:tr>
      <w:tr>
        <w:trPr/>
        <w:tc>
          <w:tcPr>
            <w:tcW w:w="57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5704" w:type="dxa"/>
            <w:tcBorders/>
            <w:vAlign w:val="center"/>
          </w:tcPr>
          <w:p>
            <w:pPr>
              <w:pStyle w:val="TableContents"/>
              <w:bidi w:val="0"/>
              <w:spacing w:before="0" w:after="283"/>
              <w:jc w:val="left"/>
              <w:rPr/>
            </w:pPr>
            <w:r>
              <w:rPr/>
              <w:t>Weighted average common shares, basic</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11,574</w:t>
            </w:r>
          </w:p>
        </w:tc>
        <w:tc>
          <w:tcPr>
            <w:tcW w:w="129"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11,532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11,567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11,532</w:t>
            </w:r>
          </w:p>
        </w:tc>
        <w:tc>
          <w:tcPr>
            <w:tcW w:w="174" w:type="dxa"/>
            <w:tcBorders/>
            <w:vAlign w:val="center"/>
          </w:tcPr>
          <w:p>
            <w:pPr>
              <w:pStyle w:val="TableContents"/>
              <w:bidi w:val="0"/>
              <w:spacing w:before="0" w:after="283"/>
              <w:jc w:val="left"/>
              <w:rPr/>
            </w:pPr>
            <w:r>
              <w:rPr/>
              <w:t> </w:t>
            </w:r>
          </w:p>
        </w:tc>
      </w:tr>
      <w:tr>
        <w:trPr/>
        <w:tc>
          <w:tcPr>
            <w:tcW w:w="5704" w:type="dxa"/>
            <w:tcBorders/>
            <w:shd w:fill="CCEEFF" w:val="clear"/>
            <w:vAlign w:val="center"/>
          </w:tcPr>
          <w:p>
            <w:pPr>
              <w:pStyle w:val="TableContents"/>
              <w:bidi w:val="0"/>
              <w:spacing w:before="0" w:after="283"/>
              <w:jc w:val="left"/>
              <w:rPr/>
            </w:pPr>
            <w:r>
              <w:rPr/>
              <w:t>Weighted average common shares, diluted</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11,574</w:t>
            </w:r>
          </w:p>
        </w:tc>
        <w:tc>
          <w:tcPr>
            <w:tcW w:w="129"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11,532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11,532</w:t>
            </w:r>
          </w:p>
        </w:tc>
        <w:tc>
          <w:tcPr>
            <w:tcW w:w="17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TherapeuticsMD, Inc. and Subsidiaries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 in thousands)</w:t>
      </w:r>
    </w:p>
    <w:p>
      <w:pPr>
        <w:pStyle w:val="TextBody"/>
        <w:bidi w:val="0"/>
        <w:spacing w:before="0" w:after="0"/>
        <w:ind w:left="0" w:right="0" w:hanging="0"/>
        <w:jc w:val="center"/>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2855"/>
        <w:gridCol w:w="90"/>
        <w:gridCol w:w="95"/>
        <w:gridCol w:w="756"/>
        <w:gridCol w:w="95"/>
        <w:gridCol w:w="95"/>
        <w:gridCol w:w="306"/>
        <w:gridCol w:w="524"/>
        <w:gridCol w:w="90"/>
        <w:gridCol w:w="90"/>
        <w:gridCol w:w="301"/>
        <w:gridCol w:w="1473"/>
        <w:gridCol w:w="90"/>
        <w:gridCol w:w="90"/>
        <w:gridCol w:w="207"/>
        <w:gridCol w:w="1103"/>
        <w:gridCol w:w="125"/>
        <w:gridCol w:w="90"/>
        <w:gridCol w:w="170"/>
        <w:gridCol w:w="710"/>
        <w:gridCol w:w="170"/>
      </w:tblGrid>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1"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center"/>
              <w:rPr/>
            </w:pPr>
            <w:r>
              <w:rPr/>
              <w:t>Additional Paid 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Balance, January 1, 2025</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11,532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979,181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(951,822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27,370</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42</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(653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(653</w:t>
            </w:r>
          </w:p>
        </w:tc>
        <w:tc>
          <w:tcPr>
            <w:tcW w:w="170" w:type="dxa"/>
            <w:tcBorders/>
            <w:shd w:fill="CCEEFF" w:val="clear"/>
            <w:vAlign w:val="center"/>
          </w:tcPr>
          <w:p>
            <w:pPr>
              <w:pStyle w:val="TableContents"/>
              <w:bidi w:val="0"/>
              <w:spacing w:before="0" w:after="283"/>
              <w:jc w:val="left"/>
              <w:rPr/>
            </w:pPr>
            <w:r>
              <w:rPr/>
              <w:t>)</w:t>
            </w:r>
          </w:p>
        </w:tc>
      </w:tr>
      <w:tr>
        <w:trPr/>
        <w:tc>
          <w:tcPr>
            <w:tcW w:w="2855" w:type="dxa"/>
            <w:tcBorders/>
            <w:vAlign w:val="center"/>
          </w:tcPr>
          <w:p>
            <w:pPr>
              <w:pStyle w:val="TableContents"/>
              <w:bidi w:val="0"/>
              <w:spacing w:before="0" w:after="283"/>
              <w:jc w:val="left"/>
              <w:rPr/>
            </w:pPr>
            <w:r>
              <w:rPr/>
              <w:t>Balance, March 31, 2025</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11,574</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w:t>
            </w:r>
          </w:p>
        </w:tc>
        <w:tc>
          <w:tcPr>
            <w:tcW w:w="524" w:type="dxa"/>
            <w:tcBorders/>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473" w:type="dxa"/>
            <w:tcBorders/>
            <w:vAlign w:val="center"/>
          </w:tcPr>
          <w:p>
            <w:pPr>
              <w:pStyle w:val="TableContents"/>
              <w:bidi w:val="0"/>
              <w:spacing w:before="0" w:after="283"/>
              <w:jc w:val="right"/>
              <w:rPr/>
            </w:pPr>
            <w:r>
              <w:rPr/>
              <w:t>979,204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(952,475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26,740</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Share-based compensation</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bottom w:val="single" w:sz="12" w:space="0" w:color="000000"/>
            </w:tcBorders>
            <w:tcMar>
              <w:bottom w:w="28" w:type="dxa"/>
            </w:tcMar>
            <w:vAlign w:val="center"/>
          </w:tcPr>
          <w:p>
            <w:pPr>
              <w:pStyle w:val="TableContents"/>
              <w:bidi w:val="0"/>
              <w:spacing w:before="0" w:after="283"/>
              <w:jc w:val="left"/>
              <w:rPr/>
            </w:pPr>
            <w:r>
              <w:rPr/>
              <w:t> </w:t>
            </w:r>
          </w:p>
        </w:tc>
        <w:tc>
          <w:tcPr>
            <w:tcW w:w="52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551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551</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Balance, June 30, 2025</w:t>
            </w:r>
          </w:p>
        </w:tc>
        <w:tc>
          <w:tcPr>
            <w:tcW w:w="9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pPr>
            <w:r>
              <w:rPr/>
              <w:t>11,574</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4"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73" w:type="dxa"/>
            <w:tcBorders>
              <w:bottom w:val="double" w:sz="10" w:space="0" w:color="000000"/>
            </w:tcBorders>
            <w:shd w:fill="CCEEFF" w:val="clear"/>
            <w:tcMar>
              <w:bottom w:w="28" w:type="dxa"/>
            </w:tcMar>
            <w:vAlign w:val="center"/>
          </w:tcPr>
          <w:p>
            <w:pPr>
              <w:pStyle w:val="TableContents"/>
              <w:bidi w:val="0"/>
              <w:spacing w:before="0" w:after="283"/>
              <w:jc w:val="right"/>
              <w:rPr/>
            </w:pPr>
            <w:r>
              <w:rPr/>
              <w:t>979,205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(951,924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27,292</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152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152</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Balance, September 30, 2025</w:t>
            </w:r>
          </w:p>
        </w:tc>
        <w:tc>
          <w:tcPr>
            <w:tcW w:w="90" w:type="dxa"/>
            <w:tcBorders/>
            <w:vAlign w:val="center"/>
          </w:tcPr>
          <w:p>
            <w:pPr>
              <w:pStyle w:val="TableContents"/>
              <w:bidi w:val="0"/>
              <w:spacing w:before="0" w:after="283"/>
              <w:jc w:val="left"/>
              <w:rPr/>
            </w:pPr>
            <w:r>
              <w:rPr/>
              <w:t> </w:t>
            </w:r>
          </w:p>
        </w:tc>
        <w:tc>
          <w:tcPr>
            <w:tcW w:w="95" w:type="dxa"/>
            <w:tcBorders>
              <w:bottom w:val="double" w:sz="10" w:space="0" w:color="000000"/>
            </w:tcBorders>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tcMar>
              <w:bottom w:w="28" w:type="dxa"/>
            </w:tcMar>
            <w:vAlign w:val="center"/>
          </w:tcPr>
          <w:p>
            <w:pPr>
              <w:pStyle w:val="TableContents"/>
              <w:bidi w:val="0"/>
              <w:spacing w:before="0" w:after="283"/>
              <w:jc w:val="right"/>
              <w:rPr/>
            </w:pPr>
            <w:r>
              <w:rPr/>
              <w:t>11,574</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bottom w:val="double" w:sz="10" w:space="0" w:color="000000"/>
            </w:tcBorders>
            <w:tcMar>
              <w:bottom w:w="28" w:type="dxa"/>
            </w:tcMar>
            <w:vAlign w:val="center"/>
          </w:tcPr>
          <w:p>
            <w:pPr>
              <w:pStyle w:val="TableContents"/>
              <w:bidi w:val="0"/>
              <w:spacing w:before="0" w:after="283"/>
              <w:jc w:val="left"/>
              <w:rPr/>
            </w:pPr>
            <w:r>
              <w:rPr/>
              <w:t>$</w:t>
            </w:r>
          </w:p>
        </w:tc>
        <w:tc>
          <w:tcPr>
            <w:tcW w:w="524" w:type="dxa"/>
            <w:tcBorders>
              <w:bottom w:val="double" w:sz="10" w:space="0" w:color="000000"/>
            </w:tcBorders>
            <w:tcMar>
              <w:bottom w:w="28" w:type="dxa"/>
            </w:tcMar>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1473" w:type="dxa"/>
            <w:tcBorders>
              <w:bottom w:val="double" w:sz="10" w:space="0" w:color="000000"/>
            </w:tcBorders>
            <w:tcMar>
              <w:bottom w:w="28" w:type="dxa"/>
            </w:tcMar>
            <w:vAlign w:val="center"/>
          </w:tcPr>
          <w:p>
            <w:pPr>
              <w:pStyle w:val="TableContents"/>
              <w:bidi w:val="0"/>
              <w:spacing w:before="0" w:after="283"/>
              <w:jc w:val="right"/>
              <w:rPr/>
            </w:pPr>
            <w:r>
              <w:rPr/>
              <w:t>979,205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double" w:sz="10" w:space="0" w:color="000000"/>
            </w:tcBorders>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(951,772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27,444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2855"/>
        <w:gridCol w:w="90"/>
        <w:gridCol w:w="95"/>
        <w:gridCol w:w="756"/>
        <w:gridCol w:w="95"/>
        <w:gridCol w:w="95"/>
        <w:gridCol w:w="306"/>
        <w:gridCol w:w="524"/>
        <w:gridCol w:w="90"/>
        <w:gridCol w:w="90"/>
        <w:gridCol w:w="301"/>
        <w:gridCol w:w="1473"/>
        <w:gridCol w:w="90"/>
        <w:gridCol w:w="90"/>
        <w:gridCol w:w="207"/>
        <w:gridCol w:w="1103"/>
        <w:gridCol w:w="125"/>
        <w:gridCol w:w="90"/>
        <w:gridCol w:w="170"/>
        <w:gridCol w:w="710"/>
        <w:gridCol w:w="170"/>
      </w:tblGrid>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1"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283"/>
              <w:jc w:val="center"/>
              <w:rPr/>
            </w:pPr>
            <w:r>
              <w:rPr/>
              <w:t>Additional Paid 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pPr>
            <w:r>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Balance, January 1, 2024</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11,532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978,917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(949,641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29,287</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111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111</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(734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(734</w:t>
            </w:r>
          </w:p>
        </w:tc>
        <w:tc>
          <w:tcPr>
            <w:tcW w:w="170" w:type="dxa"/>
            <w:tcBorders/>
            <w:shd w:fill="CCEEFF" w:val="clear"/>
            <w:vAlign w:val="center"/>
          </w:tcPr>
          <w:p>
            <w:pPr>
              <w:pStyle w:val="TableContents"/>
              <w:bidi w:val="0"/>
              <w:spacing w:before="0" w:after="283"/>
              <w:jc w:val="left"/>
              <w:rPr/>
            </w:pPr>
            <w:r>
              <w:rPr/>
              <w:t>)</w:t>
            </w:r>
          </w:p>
        </w:tc>
      </w:tr>
      <w:tr>
        <w:trPr/>
        <w:tc>
          <w:tcPr>
            <w:tcW w:w="2855" w:type="dxa"/>
            <w:tcBorders/>
            <w:vAlign w:val="center"/>
          </w:tcPr>
          <w:p>
            <w:pPr>
              <w:pStyle w:val="TableContents"/>
              <w:bidi w:val="0"/>
              <w:spacing w:before="0" w:after="283"/>
              <w:jc w:val="left"/>
              <w:rPr/>
            </w:pPr>
            <w:r>
              <w:rPr/>
              <w:t>Balance, March 31, 2024</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11,532</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w:t>
            </w:r>
          </w:p>
        </w:tc>
        <w:tc>
          <w:tcPr>
            <w:tcW w:w="524" w:type="dxa"/>
            <w:tcBorders/>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w:t>
            </w:r>
          </w:p>
        </w:tc>
        <w:tc>
          <w:tcPr>
            <w:tcW w:w="1473" w:type="dxa"/>
            <w:tcBorders/>
            <w:vAlign w:val="center"/>
          </w:tcPr>
          <w:p>
            <w:pPr>
              <w:pStyle w:val="TableContents"/>
              <w:bidi w:val="0"/>
              <w:spacing w:before="0" w:after="283"/>
              <w:jc w:val="right"/>
              <w:rPr/>
            </w:pPr>
            <w:r>
              <w:rPr/>
              <w:t>979,028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(950,375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28,664</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Share-based compensation</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96</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bottom w:val="single" w:sz="12" w:space="0" w:color="000000"/>
            </w:tcBorders>
            <w:tcMar>
              <w:bottom w:w="28" w:type="dxa"/>
            </w:tcMar>
            <w:vAlign w:val="center"/>
          </w:tcPr>
          <w:p>
            <w:pPr>
              <w:pStyle w:val="TableContents"/>
              <w:bidi w:val="0"/>
              <w:spacing w:before="0" w:after="283"/>
              <w:jc w:val="left"/>
              <w:rPr/>
            </w:pPr>
            <w:r>
              <w:rPr/>
              <w:t> </w:t>
            </w:r>
          </w:p>
        </w:tc>
        <w:tc>
          <w:tcPr>
            <w:tcW w:w="52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tcMar>
              <w:bottom w:w="28" w:type="dxa"/>
            </w:tcMar>
            <w:vAlign w:val="center"/>
          </w:tcPr>
          <w:p>
            <w:pPr>
              <w:pStyle w:val="TableContents"/>
              <w:bidi w:val="0"/>
              <w:spacing w:before="0" w:after="283"/>
              <w:jc w:val="right"/>
              <w:rPr/>
            </w:pPr>
            <w:r>
              <w:rPr/>
              <w:t>(1,090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(1,090</w:t>
            </w:r>
          </w:p>
        </w:tc>
        <w:tc>
          <w:tcPr>
            <w:tcW w:w="170" w:type="dxa"/>
            <w:tcBorders/>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left"/>
              <w:rPr/>
            </w:pPr>
            <w:r>
              <w:rPr/>
              <w:t>Balance, June 30, 2024</w:t>
            </w:r>
          </w:p>
        </w:tc>
        <w:tc>
          <w:tcPr>
            <w:tcW w:w="9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pPr>
            <w:r>
              <w:rPr/>
              <w:t>11,532</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4"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73" w:type="dxa"/>
            <w:tcBorders>
              <w:bottom w:val="double" w:sz="10" w:space="0" w:color="000000"/>
            </w:tcBorders>
            <w:shd w:fill="CCEEFF" w:val="clear"/>
            <w:tcMar>
              <w:bottom w:w="28" w:type="dxa"/>
            </w:tcMar>
            <w:vAlign w:val="center"/>
          </w:tcPr>
          <w:p>
            <w:pPr>
              <w:pStyle w:val="TableContents"/>
              <w:bidi w:val="0"/>
              <w:spacing w:before="0" w:after="283"/>
              <w:jc w:val="right"/>
              <w:rPr/>
            </w:pPr>
            <w:r>
              <w:rPr/>
              <w:t>979,124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pPr>
            <w:r>
              <w:rPr/>
              <w:t>(951,465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27,670</w:t>
            </w:r>
          </w:p>
        </w:tc>
        <w:tc>
          <w:tcPr>
            <w:tcW w:w="17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52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33</w:t>
            </w:r>
          </w:p>
        </w:tc>
        <w:tc>
          <w:tcPr>
            <w:tcW w:w="17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3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(609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(609</w:t>
            </w:r>
          </w:p>
        </w:tc>
        <w:tc>
          <w:tcPr>
            <w:tcW w:w="170" w:type="dxa"/>
            <w:tcBorders/>
            <w:shd w:fill="CCEEFF" w:val="clear"/>
            <w:vAlign w:val="center"/>
          </w:tcPr>
          <w:p>
            <w:pPr>
              <w:pStyle w:val="TableContents"/>
              <w:bidi w:val="0"/>
              <w:spacing w:before="0" w:after="283"/>
              <w:jc w:val="left"/>
              <w:rPr/>
            </w:pPr>
            <w:r>
              <w:rPr/>
              <w:t>)</w:t>
            </w:r>
          </w:p>
        </w:tc>
      </w:tr>
      <w:tr>
        <w:trPr/>
        <w:tc>
          <w:tcPr>
            <w:tcW w:w="2855" w:type="dxa"/>
            <w:tcBorders/>
            <w:vAlign w:val="center"/>
          </w:tcPr>
          <w:p>
            <w:pPr>
              <w:pStyle w:val="TableContents"/>
              <w:bidi w:val="0"/>
              <w:spacing w:before="0" w:after="283"/>
              <w:jc w:val="left"/>
              <w:rPr/>
            </w:pPr>
            <w:r>
              <w:rPr/>
              <w:t>Balance, September 30, 2024</w:t>
            </w:r>
          </w:p>
        </w:tc>
        <w:tc>
          <w:tcPr>
            <w:tcW w:w="90" w:type="dxa"/>
            <w:tcBorders/>
            <w:vAlign w:val="center"/>
          </w:tcPr>
          <w:p>
            <w:pPr>
              <w:pStyle w:val="TableContents"/>
              <w:bidi w:val="0"/>
              <w:spacing w:before="0" w:after="283"/>
              <w:jc w:val="left"/>
              <w:rPr/>
            </w:pPr>
            <w:r>
              <w:rPr/>
              <w:t> </w:t>
            </w:r>
          </w:p>
        </w:tc>
        <w:tc>
          <w:tcPr>
            <w:tcW w:w="95" w:type="dxa"/>
            <w:tcBorders>
              <w:bottom w:val="double" w:sz="10" w:space="0" w:color="000000"/>
            </w:tcBorders>
            <w:tcMar>
              <w:bottom w:w="28" w:type="dxa"/>
            </w:tcMar>
            <w:vAlign w:val="center"/>
          </w:tcPr>
          <w:p>
            <w:pPr>
              <w:pStyle w:val="TableContents"/>
              <w:bidi w:val="0"/>
              <w:spacing w:before="0" w:after="283"/>
              <w:jc w:val="left"/>
              <w:rPr/>
            </w:pPr>
            <w:r>
              <w:rPr/>
              <w:t> </w:t>
            </w:r>
          </w:p>
        </w:tc>
        <w:tc>
          <w:tcPr>
            <w:tcW w:w="756" w:type="dxa"/>
            <w:tcBorders>
              <w:bottom w:val="double" w:sz="10" w:space="0" w:color="000000"/>
            </w:tcBorders>
            <w:tcMar>
              <w:bottom w:w="28" w:type="dxa"/>
            </w:tcMar>
            <w:vAlign w:val="center"/>
          </w:tcPr>
          <w:p>
            <w:pPr>
              <w:pStyle w:val="TableContents"/>
              <w:bidi w:val="0"/>
              <w:spacing w:before="0" w:after="283"/>
              <w:jc w:val="right"/>
              <w:rPr/>
            </w:pPr>
            <w:r>
              <w:rPr/>
              <w:t>11,532</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306" w:type="dxa"/>
            <w:tcBorders>
              <w:bottom w:val="double" w:sz="10" w:space="0" w:color="000000"/>
            </w:tcBorders>
            <w:tcMar>
              <w:bottom w:w="28" w:type="dxa"/>
            </w:tcMar>
            <w:vAlign w:val="center"/>
          </w:tcPr>
          <w:p>
            <w:pPr>
              <w:pStyle w:val="TableContents"/>
              <w:bidi w:val="0"/>
              <w:spacing w:before="0" w:after="283"/>
              <w:jc w:val="left"/>
              <w:rPr/>
            </w:pPr>
            <w:r>
              <w:rPr/>
              <w:t>$</w:t>
            </w:r>
          </w:p>
        </w:tc>
        <w:tc>
          <w:tcPr>
            <w:tcW w:w="524" w:type="dxa"/>
            <w:tcBorders>
              <w:bottom w:val="double" w:sz="10" w:space="0" w:color="000000"/>
            </w:tcBorders>
            <w:tcMar>
              <w:bottom w:w="28" w:type="dxa"/>
            </w:tcMar>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1473" w:type="dxa"/>
            <w:tcBorders>
              <w:bottom w:val="double" w:sz="10" w:space="0" w:color="000000"/>
            </w:tcBorders>
            <w:tcMar>
              <w:bottom w:w="28" w:type="dxa"/>
            </w:tcMar>
            <w:vAlign w:val="center"/>
          </w:tcPr>
          <w:p>
            <w:pPr>
              <w:pStyle w:val="TableContents"/>
              <w:bidi w:val="0"/>
              <w:spacing w:before="0" w:after="283"/>
              <w:jc w:val="right"/>
              <w:rPr/>
            </w:pPr>
            <w:r>
              <w:rPr/>
              <w:t>979,157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double" w:sz="10" w:space="0" w:color="000000"/>
            </w:tcBorders>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tcMar>
              <w:bottom w:w="28" w:type="dxa"/>
            </w:tcMar>
            <w:vAlign w:val="center"/>
          </w:tcPr>
          <w:p>
            <w:pPr>
              <w:pStyle w:val="TableContents"/>
              <w:bidi w:val="0"/>
              <w:spacing w:before="0" w:after="283"/>
              <w:jc w:val="right"/>
              <w:rPr/>
            </w:pPr>
            <w:r>
              <w:rPr/>
              <w:t>(952,074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27,094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TherapeuticsMD, Inc. and Subsidiaries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Cash Flows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4"/>
        <w:gridCol w:w="90"/>
        <w:gridCol w:w="183"/>
        <w:gridCol w:w="637"/>
        <w:gridCol w:w="135"/>
        <w:gridCol w:w="96"/>
        <w:gridCol w:w="183"/>
        <w:gridCol w:w="718"/>
        <w:gridCol w:w="339"/>
      </w:tblGrid>
      <w:tr>
        <w:trPr/>
        <w:tc>
          <w:tcPr>
            <w:tcW w:w="78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center"/>
          </w:tcPr>
          <w:p>
            <w:pPr>
              <w:pStyle w:val="TableContents"/>
              <w:bidi w:val="0"/>
              <w:spacing w:before="0" w:after="283"/>
              <w:jc w:val="center"/>
              <w:rPr/>
            </w:pPr>
            <w:r>
              <w:rPr/>
              <w:t>Nine Months Ended</w:t>
              <w:br/>
              <w:t>September 30,</w:t>
            </w:r>
          </w:p>
        </w:tc>
        <w:tc>
          <w:tcPr>
            <w:tcW w:w="339" w:type="dxa"/>
            <w:tcBorders/>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0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339" w:type="dxa"/>
            <w:tcBorders/>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01" w:type="dxa"/>
            <w:gridSpan w:val="2"/>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50</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18" w:type="dxa"/>
            <w:tcBorders/>
            <w:shd w:fill="CCEEFF" w:val="clear"/>
            <w:vAlign w:val="center"/>
          </w:tcPr>
          <w:p>
            <w:pPr>
              <w:pStyle w:val="TableContents"/>
              <w:bidi w:val="0"/>
              <w:spacing w:before="0" w:after="283"/>
              <w:jc w:val="right"/>
              <w:rPr/>
            </w:pPr>
            <w:r>
              <w:rPr/>
              <w:t>(2,433</w:t>
            </w:r>
          </w:p>
        </w:tc>
        <w:tc>
          <w:tcPr>
            <w:tcW w:w="339" w:type="dxa"/>
            <w:tcBorders/>
            <w:shd w:fill="CCEEFF" w:val="clear"/>
            <w:vAlign w:val="center"/>
          </w:tcPr>
          <w:p>
            <w:pPr>
              <w:pStyle w:val="TableContents"/>
              <w:bidi w:val="0"/>
              <w:spacing w:before="0" w:after="283"/>
              <w:jc w:val="left"/>
              <w:rPr/>
            </w:pPr>
            <w:r>
              <w:rPr/>
              <w:t>)</w:t>
            </w:r>
          </w:p>
        </w:tc>
      </w:tr>
      <w:tr>
        <w:trPr/>
        <w:tc>
          <w:tcPr>
            <w:tcW w:w="7824" w:type="dxa"/>
            <w:tcBorders/>
            <w:vAlign w:val="center"/>
          </w:tcPr>
          <w:p>
            <w:pPr>
              <w:pStyle w:val="TableContents"/>
              <w:bidi w:val="0"/>
              <w:spacing w:before="0" w:after="283"/>
              <w:jc w:val="left"/>
              <w:rPr/>
            </w:pPr>
            <w:r>
              <w:rPr/>
              <w:t>   </w:t>
            </w:r>
            <w:r>
              <w:rPr/>
              <w:t>Less: income (loss) from discontinued operations, net of income taxes</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tcMar>
              <w:bottom w:w="28" w:type="dxa"/>
            </w:tcMar>
            <w:vAlign w:val="center"/>
          </w:tcPr>
          <w:p>
            <w:pPr>
              <w:pStyle w:val="TableContents"/>
              <w:bidi w:val="0"/>
              <w:spacing w:before="0" w:after="283"/>
              <w:jc w:val="right"/>
              <w:rPr/>
            </w:pPr>
            <w:r>
              <w:rPr/>
              <w:t>91</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tcMar>
              <w:bottom w:w="28" w:type="dxa"/>
            </w:tcMar>
            <w:vAlign w:val="center"/>
          </w:tcPr>
          <w:p>
            <w:pPr>
              <w:pStyle w:val="TableContents"/>
              <w:bidi w:val="0"/>
              <w:spacing w:before="0" w:after="283"/>
              <w:jc w:val="right"/>
              <w:rPr/>
            </w:pPr>
            <w:r>
              <w:rPr/>
              <w:t>(7</w:t>
            </w:r>
          </w:p>
        </w:tc>
        <w:tc>
          <w:tcPr>
            <w:tcW w:w="339" w:type="dxa"/>
            <w:tcBorders/>
            <w:vAlign w:val="center"/>
          </w:tcPr>
          <w:p>
            <w:pPr>
              <w:pStyle w:val="TableContents"/>
              <w:bidi w:val="0"/>
              <w:spacing w:before="0" w:after="283"/>
              <w:jc w:val="left"/>
              <w:rPr/>
            </w:pPr>
            <w:r>
              <w:rPr/>
              <w:t>)</w:t>
            </w:r>
          </w:p>
        </w:tc>
      </w:tr>
      <w:tr>
        <w:trPr/>
        <w:tc>
          <w:tcPr>
            <w:tcW w:w="7824"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(41</w:t>
            </w:r>
          </w:p>
        </w:tc>
        <w:tc>
          <w:tcPr>
            <w:tcW w:w="135"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(2,426</w:t>
            </w:r>
          </w:p>
        </w:tc>
        <w:tc>
          <w:tcPr>
            <w:tcW w:w="339" w:type="dxa"/>
            <w:tcBorders/>
            <w:shd w:fill="CCEEFF" w:val="clear"/>
            <w:vAlign w:val="center"/>
          </w:tcPr>
          <w:p>
            <w:pPr>
              <w:pStyle w:val="TableContents"/>
              <w:bidi w:val="0"/>
              <w:spacing w:before="0" w:after="283"/>
              <w:jc w:val="left"/>
              <w:rPr/>
            </w:pPr>
            <w:r>
              <w:rPr/>
              <w:t>)</w:t>
            </w:r>
          </w:p>
        </w:tc>
      </w:tr>
      <w:tr>
        <w:trPr/>
        <w:tc>
          <w:tcPr>
            <w:tcW w:w="7824" w:type="dxa"/>
            <w:tcBorders/>
            <w:vAlign w:val="center"/>
          </w:tcPr>
          <w:p>
            <w:pPr>
              <w:pStyle w:val="TableContents"/>
              <w:bidi w:val="0"/>
              <w:spacing w:before="0" w:after="283"/>
              <w:jc w:val="left"/>
              <w:rPr/>
            </w:pPr>
            <w:r>
              <w:rPr/>
              <w:t>Adjustments to reconcile net loss to net cash provided by continuing operating activities: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287</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409</w:t>
            </w:r>
          </w:p>
        </w:tc>
        <w:tc>
          <w:tcPr>
            <w:tcW w:w="339" w:type="dxa"/>
            <w:tcBorders/>
            <w:shd w:fill="CCEEFF" w:val="clear"/>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Impairment of long-lived assets (Note 4)</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1,261</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Write-off of patents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119</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0"/>
              <w:jc w:val="right"/>
              <w:rPr/>
            </w:pPr>
            <w:r>
              <w:rPr/>
              <w:t>—</w:t>
            </w:r>
          </w:p>
        </w:tc>
        <w:tc>
          <w:tcPr>
            <w:tcW w:w="339" w:type="dxa"/>
            <w:tcBorders/>
            <w:shd w:fill="CCEEFF" w:val="clear"/>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24</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240</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587</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572</w:t>
            </w:r>
          </w:p>
        </w:tc>
        <w:tc>
          <w:tcPr>
            <w:tcW w:w="339" w:type="dxa"/>
            <w:tcBorders/>
            <w:shd w:fill="CCEEFF" w:val="clear"/>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1,401</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1,874</w:t>
            </w:r>
          </w:p>
        </w:tc>
        <w:tc>
          <w:tcPr>
            <w:tcW w:w="339" w:type="dxa"/>
            <w:tcBorders/>
            <w:shd w:fill="CCEEFF" w:val="clear"/>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Prepaid and other current assets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(188</w:t>
            </w:r>
          </w:p>
        </w:tc>
        <w:tc>
          <w:tcPr>
            <w:tcW w:w="135"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17</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5</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207</w:t>
            </w:r>
          </w:p>
        </w:tc>
        <w:tc>
          <w:tcPr>
            <w:tcW w:w="339" w:type="dxa"/>
            <w:tcBorders/>
            <w:shd w:fill="CCEEFF" w:val="clear"/>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509</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(315</w:t>
            </w:r>
          </w:p>
        </w:tc>
        <w:tc>
          <w:tcPr>
            <w:tcW w:w="339" w:type="dxa"/>
            <w:tcBorders/>
            <w:vAlign w:val="center"/>
          </w:tcPr>
          <w:p>
            <w:pPr>
              <w:pStyle w:val="TableContents"/>
              <w:bidi w:val="0"/>
              <w:spacing w:before="0" w:after="283"/>
              <w:jc w:val="left"/>
              <w:rPr/>
            </w:pPr>
            <w:r>
              <w:rPr/>
              <w:t>)</w:t>
            </w:r>
          </w:p>
        </w:tc>
      </w:tr>
      <w:tr>
        <w:trPr/>
        <w:tc>
          <w:tcPr>
            <w:tcW w:w="7824"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(752</w:t>
            </w:r>
          </w:p>
        </w:tc>
        <w:tc>
          <w:tcPr>
            <w:tcW w:w="135"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(755</w:t>
            </w:r>
          </w:p>
        </w:tc>
        <w:tc>
          <w:tcPr>
            <w:tcW w:w="339" w:type="dxa"/>
            <w:tcBorders/>
            <w:shd w:fill="CCEEFF" w:val="clear"/>
            <w:vAlign w:val="center"/>
          </w:tcPr>
          <w:p>
            <w:pPr>
              <w:pStyle w:val="TableContents"/>
              <w:bidi w:val="0"/>
              <w:spacing w:before="0" w:after="283"/>
              <w:jc w:val="left"/>
              <w:rPr/>
            </w:pPr>
            <w:r>
              <w:rPr/>
              <w:t>)</w:t>
            </w:r>
          </w:p>
        </w:tc>
      </w:tr>
      <w:tr>
        <w:trPr/>
        <w:tc>
          <w:tcPr>
            <w:tcW w:w="7824" w:type="dxa"/>
            <w:tcBorders/>
            <w:vAlign w:val="center"/>
          </w:tcPr>
          <w:p>
            <w:pPr>
              <w:pStyle w:val="TableContents"/>
              <w:bidi w:val="0"/>
              <w:spacing w:before="0" w:after="283"/>
              <w:jc w:val="left"/>
              <w:rPr/>
            </w:pPr>
            <w:r>
              <w:rPr/>
              <w:t>Other non-current liabilities</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tcMar>
              <w:bottom w:w="28" w:type="dxa"/>
            </w:tcMar>
            <w:vAlign w:val="center"/>
          </w:tcPr>
          <w:p>
            <w:pPr>
              <w:pStyle w:val="TableContents"/>
              <w:bidi w:val="0"/>
              <w:spacing w:before="0" w:after="283"/>
              <w:jc w:val="right"/>
              <w:rPr/>
            </w:pPr>
            <w:r>
              <w:rPr/>
              <w:t>128</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tcMar>
              <w:bottom w:w="28" w:type="dxa"/>
            </w:tcMar>
            <w:vAlign w:val="center"/>
          </w:tcPr>
          <w:p>
            <w:pPr>
              <w:pStyle w:val="TableContents"/>
              <w:bidi w:val="0"/>
              <w:spacing w:before="0" w:after="283"/>
              <w:jc w:val="right"/>
              <w:rPr/>
            </w:pPr>
            <w:r>
              <w:rPr/>
              <w:t>69</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Total adjustments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2,120</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center"/>
          </w:tcPr>
          <w:p>
            <w:pPr>
              <w:pStyle w:val="TableContents"/>
              <w:bidi w:val="0"/>
              <w:spacing w:before="0" w:after="283"/>
              <w:jc w:val="right"/>
              <w:rPr/>
            </w:pPr>
            <w:r>
              <w:rPr/>
              <w:t>3,579</w:t>
            </w:r>
          </w:p>
        </w:tc>
        <w:tc>
          <w:tcPr>
            <w:tcW w:w="339" w:type="dxa"/>
            <w:tcBorders/>
            <w:shd w:fill="CCEEFF" w:val="clear"/>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Net cash provided by continuing operating activities</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tcMar>
              <w:bottom w:w="28" w:type="dxa"/>
            </w:tcMar>
            <w:vAlign w:val="center"/>
          </w:tcPr>
          <w:p>
            <w:pPr>
              <w:pStyle w:val="TableContents"/>
              <w:bidi w:val="0"/>
              <w:spacing w:before="0" w:after="283"/>
              <w:jc w:val="right"/>
              <w:rPr/>
            </w:pPr>
            <w:r>
              <w:rPr/>
              <w:t>2,079</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tcMar>
              <w:bottom w:w="28" w:type="dxa"/>
            </w:tcMar>
            <w:vAlign w:val="center"/>
          </w:tcPr>
          <w:p>
            <w:pPr>
              <w:pStyle w:val="TableContents"/>
              <w:bidi w:val="0"/>
              <w:spacing w:before="0" w:after="283"/>
              <w:jc w:val="right"/>
              <w:rPr/>
            </w:pPr>
            <w:r>
              <w:rPr/>
              <w:t>1,153</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339" w:type="dxa"/>
            <w:tcBorders/>
            <w:shd w:fill="CCEEFF" w:val="clear"/>
            <w:vAlign w:val="center"/>
          </w:tcPr>
          <w:p>
            <w:pPr>
              <w:pStyle w:val="TableContents"/>
              <w:bidi w:val="0"/>
              <w:spacing w:before="0" w:after="283"/>
              <w:ind w:left="0" w:right="0" w:firstLine="200"/>
              <w:jc w:val="left"/>
              <w:rPr/>
            </w:pPr>
            <w:r>
              <w:rPr/>
              <w:t> </w:t>
            </w:r>
          </w:p>
        </w:tc>
      </w:tr>
      <w:tr>
        <w:trPr/>
        <w:tc>
          <w:tcPr>
            <w:tcW w:w="7824"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tcMar>
              <w:bottom w:w="28" w:type="dxa"/>
            </w:tcMar>
            <w:vAlign w:val="center"/>
          </w:tcPr>
          <w:p>
            <w:pPr>
              <w:pStyle w:val="TableContents"/>
              <w:bidi w:val="0"/>
              <w:spacing w:before="0" w:after="283"/>
              <w:jc w:val="right"/>
              <w:rPr/>
            </w:pPr>
            <w:r>
              <w:rPr/>
              <w:t>(23</w:t>
            </w:r>
          </w:p>
        </w:tc>
        <w:tc>
          <w:tcPr>
            <w:tcW w:w="135"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tcMar>
              <w:bottom w:w="28" w:type="dxa"/>
            </w:tcMar>
            <w:vAlign w:val="center"/>
          </w:tcPr>
          <w:p>
            <w:pPr>
              <w:pStyle w:val="TableContents"/>
              <w:bidi w:val="0"/>
              <w:spacing w:before="0" w:after="283"/>
              <w:jc w:val="right"/>
              <w:rPr/>
            </w:pPr>
            <w:r>
              <w:rPr/>
              <w:t>(433</w:t>
            </w:r>
          </w:p>
        </w:tc>
        <w:tc>
          <w:tcPr>
            <w:tcW w:w="339" w:type="dxa"/>
            <w:tcBorders/>
            <w:vAlign w:val="center"/>
          </w:tcPr>
          <w:p>
            <w:pPr>
              <w:pStyle w:val="TableContents"/>
              <w:bidi w:val="0"/>
              <w:spacing w:before="0" w:after="283"/>
              <w:jc w:val="left"/>
              <w:rPr/>
            </w:pPr>
            <w:r>
              <w:rPr/>
              <w:t>)</w:t>
            </w:r>
          </w:p>
        </w:tc>
      </w:tr>
      <w:tr>
        <w:trPr/>
        <w:tc>
          <w:tcPr>
            <w:tcW w:w="7824" w:type="dxa"/>
            <w:tcBorders/>
            <w:shd w:fill="CCEEFF" w:val="clear"/>
            <w:vAlign w:val="center"/>
          </w:tcPr>
          <w:p>
            <w:pPr>
              <w:pStyle w:val="TableContents"/>
              <w:bidi w:val="0"/>
              <w:spacing w:before="0" w:after="283"/>
              <w:jc w:val="left"/>
              <w:rPr/>
            </w:pPr>
            <w:r>
              <w:rPr/>
              <w:t>Net cash used in discontinued operations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35"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center"/>
          </w:tcPr>
          <w:p>
            <w:pPr>
              <w:pStyle w:val="TableContents"/>
              <w:bidi w:val="0"/>
              <w:spacing w:before="0" w:after="283"/>
              <w:jc w:val="right"/>
              <w:rPr/>
            </w:pPr>
            <w:r>
              <w:rPr/>
              <w:t>(433</w:t>
            </w:r>
          </w:p>
        </w:tc>
        <w:tc>
          <w:tcPr>
            <w:tcW w:w="339" w:type="dxa"/>
            <w:tcBorders/>
            <w:shd w:fill="CCEEFF" w:val="clear"/>
            <w:vAlign w:val="center"/>
          </w:tcPr>
          <w:p>
            <w:pPr>
              <w:pStyle w:val="TableContents"/>
              <w:bidi w:val="0"/>
              <w:spacing w:before="0" w:after="283"/>
              <w:jc w:val="left"/>
              <w:rPr/>
            </w:pPr>
            <w:r>
              <w:rPr/>
              <w:t>)</w:t>
            </w:r>
          </w:p>
        </w:tc>
      </w:tr>
      <w:tr>
        <w:trPr/>
        <w:tc>
          <w:tcPr>
            <w:tcW w:w="7824" w:type="dxa"/>
            <w:tcBorders/>
            <w:vAlign w:val="center"/>
          </w:tcPr>
          <w:p>
            <w:pPr>
              <w:pStyle w:val="TableContents"/>
              <w:bidi w:val="0"/>
              <w:spacing w:before="0" w:after="283"/>
              <w:jc w:val="left"/>
              <w:rPr/>
            </w:pPr>
            <w:r>
              <w:rPr/>
              <w:t>Net increase in cash</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pPr>
            <w:r>
              <w:rPr/>
              <w:t>2,056</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720</w:t>
            </w:r>
          </w:p>
        </w:tc>
        <w:tc>
          <w:tcPr>
            <w:tcW w:w="339" w:type="dxa"/>
            <w:tcBorders/>
            <w:vAlign w:val="center"/>
          </w:tcPr>
          <w:p>
            <w:pPr>
              <w:pStyle w:val="TableContents"/>
              <w:bidi w:val="0"/>
              <w:spacing w:before="0" w:after="283"/>
              <w:jc w:val="left"/>
              <w:rPr/>
            </w:pPr>
            <w:r>
              <w:rPr/>
              <w:t> </w:t>
            </w:r>
          </w:p>
        </w:tc>
      </w:tr>
      <w:tr>
        <w:trPr/>
        <w:tc>
          <w:tcPr>
            <w:tcW w:w="7824" w:type="dxa"/>
            <w:tcBorders/>
            <w:shd w:fill="CCEEFF" w:val="clear"/>
            <w:vAlign w:val="center"/>
          </w:tcPr>
          <w:p>
            <w:pPr>
              <w:pStyle w:val="TableContents"/>
              <w:bidi w:val="0"/>
              <w:spacing w:before="0" w:after="283"/>
              <w:jc w:val="left"/>
              <w:rPr/>
            </w:pPr>
            <w:r>
              <w:rPr/>
              <w:t>Cash and cash equivalents, beginning of period</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5,059</w:t>
            </w:r>
          </w:p>
        </w:tc>
        <w:tc>
          <w:tcPr>
            <w:tcW w:w="13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12" w:space="0" w:color="000000"/>
            </w:tcBorders>
            <w:shd w:fill="CCEEFF" w:val="clear"/>
            <w:tcMar>
              <w:bottom w:w="28" w:type="dxa"/>
            </w:tcMar>
            <w:vAlign w:val="center"/>
          </w:tcPr>
          <w:p>
            <w:pPr>
              <w:pStyle w:val="TableContents"/>
              <w:bidi w:val="0"/>
              <w:spacing w:before="0" w:after="283"/>
              <w:jc w:val="right"/>
              <w:rPr/>
            </w:pPr>
            <w:r>
              <w:rPr/>
              <w:t>4,327</w:t>
            </w:r>
          </w:p>
        </w:tc>
        <w:tc>
          <w:tcPr>
            <w:tcW w:w="339" w:type="dxa"/>
            <w:tcBorders/>
            <w:shd w:fill="CCEEFF" w:val="clear"/>
            <w:vAlign w:val="center"/>
          </w:tcPr>
          <w:p>
            <w:pPr>
              <w:pStyle w:val="TableContents"/>
              <w:bidi w:val="0"/>
              <w:spacing w:before="0" w:after="283"/>
              <w:jc w:val="left"/>
              <w:rPr/>
            </w:pPr>
            <w:r>
              <w:rPr/>
              <w:t> </w:t>
            </w:r>
          </w:p>
        </w:tc>
      </w:tr>
      <w:tr>
        <w:trPr/>
        <w:tc>
          <w:tcPr>
            <w:tcW w:w="7824" w:type="dxa"/>
            <w:tcBorders/>
            <w:vAlign w:val="center"/>
          </w:tcPr>
          <w:p>
            <w:pPr>
              <w:pStyle w:val="TableContents"/>
              <w:bidi w:val="0"/>
              <w:spacing w:before="0" w:after="283"/>
              <w:jc w:val="left"/>
              <w:rPr/>
            </w:pPr>
            <w:r>
              <w:rPr/>
              <w:t>Total cash and cash equivalents, end of period</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w:t>
            </w:r>
          </w:p>
        </w:tc>
        <w:tc>
          <w:tcPr>
            <w:tcW w:w="637" w:type="dxa"/>
            <w:tcBorders>
              <w:bottom w:val="double" w:sz="10" w:space="0" w:color="000000"/>
            </w:tcBorders>
            <w:tcMar>
              <w:bottom w:w="28" w:type="dxa"/>
            </w:tcMar>
            <w:vAlign w:val="center"/>
          </w:tcPr>
          <w:p>
            <w:pPr>
              <w:pStyle w:val="TableContents"/>
              <w:bidi w:val="0"/>
              <w:spacing w:before="0" w:after="283"/>
              <w:jc w:val="right"/>
              <w:rPr/>
            </w:pPr>
            <w:r>
              <w:rPr/>
              <w:t>7,115</w:t>
            </w:r>
          </w:p>
        </w:tc>
        <w:tc>
          <w:tcPr>
            <w:tcW w:w="135"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w:t>
            </w:r>
          </w:p>
        </w:tc>
        <w:tc>
          <w:tcPr>
            <w:tcW w:w="718" w:type="dxa"/>
            <w:tcBorders>
              <w:bottom w:val="double" w:sz="10" w:space="0" w:color="000000"/>
            </w:tcBorders>
            <w:tcMar>
              <w:bottom w:w="28" w:type="dxa"/>
            </w:tcMar>
            <w:vAlign w:val="center"/>
          </w:tcPr>
          <w:p>
            <w:pPr>
              <w:pStyle w:val="TableContents"/>
              <w:bidi w:val="0"/>
              <w:spacing w:before="0" w:after="283"/>
              <w:jc w:val="right"/>
              <w:rPr/>
            </w:pPr>
            <w:r>
              <w:rPr/>
              <w:t>5,047</w:t>
            </w:r>
          </w:p>
        </w:tc>
        <w:tc>
          <w:tcPr>
            <w:tcW w:w="33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TherapeuticsMD, Inc. and Subsidiaries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Business, basis of presentation, new accounting standards and summary of 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Inc. (the “Company”), a Nevada corporation, and its condensed consolidated subsidiaries are referred to collectively in this Quarterly Report on Form 10-Q (“10-Q Report”) as “TherapeuticsMD,” “we,” “our” and “us.” This 10-Q Report includes trademarks, trade names and service marks, such as TherapeuticsMD®, vitaMedMD®, BocaGreenMD®, IMVEXXY®, and BIJUVA®, which are protected under applicable intellectual property laws and are the property of, or licensed by or to, us. Solely for convenience, trademarks, trade names and service marks referred to in this 10-Q Report may appear without the ®, TM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Mayne License Agreement, Mayne Pharma will pay us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will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will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Pharma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condensed consolidated financial statements. Assets and liabilities associated with the commercial business are classified as assets and liabilities of discontinued operations in our condensed consolidated balance sheets. Additional disclosures regarding discontinued operations are provided in Note 2 of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license agreements with strategic partners to commercialize IMVEXXY and BIJUVA outside of the U.S.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July 2018, we entered into a license and supply agreement (the “Knight License Agreement”) with Knight Therapeutics Inc.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September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with Mayne Pharma, our primary source of revenue is from royalties on products licensed to pharmaceutical organizations that possess commercial capabilities in the relevant territories. We may need to raise additional capital to provide additional liquidity to fund our operations until we become cash flow positive.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in separate drawdowns at our election. On June 29, 2023, we issued and sold 312,525 shares of Common Stock at a price per share equal to $3.6797 pursuant to the Subscription Agreement. We received gross proceeds of $1.15 million from the drawdown, before expenses. On November 15, 2023, Rubric drew down an additional 877,192 shares of Common Stock at a price per share equal to $2.2761. We received gross proceeds of $2.0 million from the drawdown, before expenses. There were no drawdowns in the first nine months of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a lawsuit against us in the United States District Court for the District of Delaware (the “Mayne Countersuit” and, together with the Mayne Lawsuit, the “Mayne Lawsuits”) seeking damages for breach of contract and fraudulent inducement related to the Transaction Agreement. On July 28, 2025, we filed a motion to dismiss the Mayne Countersuit. As of September 30,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has also made certain indemnification demands under the Transaction Agreement, which we dispute. As of September 30, 2025, we believed no additional accrual was required for such claims, as we could not reasonably estimate a range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Licensed Products grow more slowly than expected or decline, including as a result of Mayne Pharma Group’s potential sale to Cosette Pharmaceuticals, Inc., if the net working capital settlement with Mayne Pharma under the Transaction Agreement is greater than our current estimates, if the outcome of the Mayne Lawsuits is worse than we anticipate,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raises substantial doubt about our ability to continue as a going concern for the next twelve months from the issuance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prepared the condensed consolidated financial statements included in this 10-Q Report following the requirements of the United States (“U.S.”) Securities and Exchange Commission (“SEC”) for interim reporting. As permitted under those rules, certain notes or other financial information that are normally required by accounting principles generally accepted in the U.S. (“U.S. GAAP”) for complete financial statements can be condensed or omitted. However, except as disclosed herein, there has been no material change in the information disclosed in the notes included in our 2024 Annual Report on Form 10-K (the “2024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as a result of the Mayne Transaction, all results associated with former commercial operations have been reflected as discontinued operations in the condensed consolidated financial statements. Assets and liabilities associated with the commercial business are classified as assets and liabilities of discontinued operations in the condensed consolidated balance sheets. Additional disclosures regarding discontinued operations are provided in Note 2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expenses, assets, liabilities, and equities can vary during each quarter of the year. Therefore, the results and trends in these interim financial statements may not be representative of those for the full year. In our opinion, all adjustments necessary for a fair presentation of the financial statements, which are of a normal and recurring nature, have been made for the interim periods reported. The information included in this 10-Q Report should be read in conjunction with the consolidated financial statements and accompanying notes included in our 2024 10-K Report. Certain amounts in the condensed consolidated financial statements and accompanying notes may not add due to rounding, and all percentages have been calculated using unrounded amounts. Certain prior period amounts have been reclassified to conform to current-period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 accounting standards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Adoption of new accounting standards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 xml:space="preserve">Financial Instruments-Credit Losses (Topic 326): Measurement of Credit Losses for Accounts Receivable and Contract Assets,” </w:t>
      </w:r>
      <w:r>
        <w:rPr>
          <w:rFonts w:ascii="Times New Roman;Times;Serif" w:hAnsi="Times New Roman;Times;Serif"/>
          <w:b w:val="false"/>
          <w:i w:val="false"/>
          <w:caps w:val="false"/>
          <w:smallCaps w:val="false"/>
          <w:sz w:val="20"/>
        </w:rPr>
        <w:t>which provides a practical expedient related to the estimation of expected credit losses for accounts receivable and current contract assets that arise from transactions accounted for under Accounting Standards Codification (“ASC”) 606, “</w:t>
      </w:r>
      <w:r>
        <w:rPr>
          <w:rFonts w:ascii="Times New Roman;Times;Serif" w:hAnsi="Times New Roman;Times;Serif"/>
          <w:b w:val="false"/>
          <w:i/>
          <w:caps w:val="false"/>
          <w:smallCaps w:val="false"/>
          <w:sz w:val="20"/>
        </w:rPr>
        <w:t xml:space="preserve">Revenue Recognition.” </w:t>
      </w:r>
      <w:r>
        <w:rPr>
          <w:rFonts w:ascii="Times New Roman;Times;Serif" w:hAnsi="Times New Roman;Times;Serif"/>
          <w:b w:val="false"/>
          <w:i w:val="false"/>
          <w:caps w:val="false"/>
          <w:smallCaps w:val="false"/>
          <w:sz w:val="20"/>
        </w:rPr>
        <w:t>ASU 2025-05 requires an entity to disclose whether it has elected to use the practical expedient. An entity that makes the accounting policy election is required to disclose the date through which subsequent cash collections are evaluated. The requirements of ASU 2025-05 are effective for annual periods beginning after December 15, 2025, and interim periods beginning in the first quarter of 2026. Early adoption is permitted in both interim and annual reporting periods in which financial statements have not yet been issued or made available for issuance. The Company is currently in the process of evaluating the effects of this pronouncement on its consolidated financial results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2024, we have adopted Financial Accounting Standards Board (“FASB”) Accounting Standards Update (“ASU”) 2023-07, “Segment Reporting (Topic 280): Improvements to Reportable Segment Disclosures” (“Update 2023-07”). ASU 2023-07 applies to all public entities that are required to report segment information in accordance with Topic 280. The amendments in ASU 2023-07 revise reportable segment disclosure requirements, primarily through enhanced disclosures about significant segment expenses. The amendments in ASU 2023-07 do not change how a public entity identifies its operating segments, aggregates those operating segments, or applies the quantitative thresholds to determine its 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(Topic 220): Disaggregation of Income Statement Expenses.” The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ASU 2024-03 is effective for our Annual Report on Form 10-K beginning in 2027 and subsequent interim reports. Early adoption is permitted. The ASU should be applied prospectively. Retrospective application is permitted for all prior periods presented in the financial statements. We are evaluating the impact of ASU 2024-03 on our financial reporting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 Improvements to Income Tax Disclosures.” ASU 2023-09 enhances the transparency and decision usefulness of income tax disclosures by requiring consistent categories and greater disaggregation of information in the rate reconciliation and income taxes paid disaggregated by jurisdiction. ASU 2023-09 will be effective for us in our income tax disclosure included in our 2025 Annual Report on Form 10-K and will be applied on a prospective basis. However, retrospective application is permitted. Early adoption is also permitted. We are evaluating the impact of ASU 2023-09 on our income tax disclosures and on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Estimates and assumptions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condensed consolidated financial statements in conformity with U.S. GAAP requires us to make certain estimates and assumptions that affect the reported amounts of assets and liabilities, disclosure of contingent assets and liabilities at the date of the condensed consolidated financial statements and the reported amounts of revenue and expenses during the reporting periods. We evaluate our estimates and assumptions based on historical experience and on various other assumptions that are believed to be reasonable, the results of which form the basis for making judgments about the carrying values of assets and liabilities that are not readily apparent from other sources. Actual results may differ, at times in material amounts,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we use for quarterly financial reporting are disclosed in Note 1 of the notes to the consolidated financial statements included in our 2024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Discontinued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we changed our business in 2022 by licensing our products to receive royalties and future sales related milestone payments, after granting an exclusive license to commercialize our IMVEXXY, BIJUVA, and prescription prenatal vitamin products sold under the BocaGreenMD and vitaMedMD brands in the United States and assigning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represented a strategic shift having a major effect on our operations and financial results. Upon our conversion from a commercial pharmaceutical company to a licensing only company with the consummation of the Mayne Transaction, we classified all direct revenues, costs and expenses related to commercial operations, within income (loss) from discontinued operations, net of tax, in the condensed consolidated statements of operations for all periods presented. We have not allocated any amounts for shared general and administrative operating support expense to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related assets and liabilities have been reported as assets and liabilities of discontinued operations in our condensed consolidated balance sheets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 the acquisition of net working capital by Mayne Pharma was determined in accordance with the Transaction Agreement and included significant estimates which could change materially for a period of up to two years following the Closing Date. Our estimate of net working capital at closing was determined in accordance with the Transaction Agreement which establishes the process for the determination of final net working capital. Refer to Note 6 for a further discussion of net working capital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results of discontinued operations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87"/>
        <w:gridCol w:w="90"/>
        <w:gridCol w:w="256"/>
        <w:gridCol w:w="620"/>
        <w:gridCol w:w="188"/>
        <w:gridCol w:w="135"/>
        <w:gridCol w:w="256"/>
        <w:gridCol w:w="551"/>
        <w:gridCol w:w="125"/>
        <w:gridCol w:w="90"/>
        <w:gridCol w:w="226"/>
        <w:gridCol w:w="547"/>
        <w:gridCol w:w="166"/>
        <w:gridCol w:w="119"/>
        <w:gridCol w:w="226"/>
        <w:gridCol w:w="646"/>
        <w:gridCol w:w="177"/>
      </w:tblGrid>
      <w:tr>
        <w:trPr/>
        <w:tc>
          <w:tcPr>
            <w:tcW w:w="57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6"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center"/>
          </w:tcPr>
          <w:p>
            <w:pPr>
              <w:pStyle w:val="TableContents"/>
              <w:bidi w:val="0"/>
              <w:spacing w:before="0" w:after="283"/>
              <w:jc w:val="center"/>
              <w:rPr/>
            </w:pPr>
            <w:r>
              <w:rPr/>
              <w:t>Nine Months Ended</w:t>
              <w:br/>
              <w:t>September 30,</w:t>
            </w:r>
          </w:p>
        </w:tc>
        <w:tc>
          <w:tcPr>
            <w:tcW w:w="177" w:type="dxa"/>
            <w:tcBorders/>
            <w:vAlign w:val="center"/>
          </w:tcPr>
          <w:p>
            <w:pPr>
              <w:pStyle w:val="TableContents"/>
              <w:bidi w:val="0"/>
              <w:spacing w:before="0" w:after="283"/>
              <w:jc w:val="left"/>
              <w:rPr/>
            </w:pPr>
            <w:r>
              <w:rPr/>
              <w:t> </w:t>
            </w:r>
          </w:p>
        </w:tc>
      </w:tr>
      <w:tr>
        <w:trPr/>
        <w:tc>
          <w:tcPr>
            <w:tcW w:w="57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8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07"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3"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7" w:type="dxa"/>
            <w:tcBorders/>
            <w:vAlign w:val="center"/>
          </w:tcPr>
          <w:p>
            <w:pPr>
              <w:pStyle w:val="TableContents"/>
              <w:bidi w:val="0"/>
              <w:spacing w:before="0" w:after="283"/>
              <w:jc w:val="left"/>
              <w:rPr/>
            </w:pPr>
            <w:r>
              <w:rPr/>
              <w:t> </w:t>
            </w:r>
          </w:p>
        </w:tc>
      </w:tr>
      <w:tr>
        <w:trPr/>
        <w:tc>
          <w:tcPr>
            <w:tcW w:w="5787"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188"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47"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46" w:type="dxa"/>
            <w:tcBorders>
              <w:bottom w:val="single" w:sz="12" w:space="0" w:color="000000"/>
            </w:tcBorders>
            <w:shd w:fill="CCEEFF" w:val="clear"/>
            <w:tcMar>
              <w:bottom w:w="28" w:type="dxa"/>
            </w:tcMar>
            <w:vAlign w:val="center"/>
          </w:tcPr>
          <w:p>
            <w:pPr>
              <w:pStyle w:val="TableContents"/>
              <w:bidi w:val="0"/>
              <w:spacing w:before="0" w:after="283"/>
              <w:jc w:val="right"/>
              <w:rPr/>
            </w:pPr>
            <w:r>
              <w:rPr/>
              <w:t>202</w:t>
            </w:r>
          </w:p>
        </w:tc>
        <w:tc>
          <w:tcPr>
            <w:tcW w:w="177" w:type="dxa"/>
            <w:tcBorders/>
            <w:shd w:fill="CCEEFF" w:val="clear"/>
            <w:vAlign w:val="center"/>
          </w:tcPr>
          <w:p>
            <w:pPr>
              <w:pStyle w:val="TableContents"/>
              <w:bidi w:val="0"/>
              <w:spacing w:before="0" w:after="283"/>
              <w:jc w:val="left"/>
              <w:rPr/>
            </w:pPr>
            <w:r>
              <w:rPr/>
              <w:t> </w:t>
            </w:r>
          </w:p>
        </w:tc>
      </w:tr>
      <w:tr>
        <w:trPr/>
        <w:tc>
          <w:tcPr>
            <w:tcW w:w="5787"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8</w:t>
            </w:r>
          </w:p>
        </w:tc>
        <w:tc>
          <w:tcPr>
            <w:tcW w:w="18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tcMar>
              <w:bottom w:w="28" w:type="dxa"/>
            </w:tcMar>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547" w:type="dxa"/>
            <w:tcBorders>
              <w:bottom w:val="single" w:sz="12" w:space="0" w:color="000000"/>
            </w:tcBorders>
            <w:tcMar>
              <w:bottom w:w="28" w:type="dxa"/>
            </w:tcMar>
            <w:vAlign w:val="center"/>
          </w:tcPr>
          <w:p>
            <w:pPr>
              <w:pStyle w:val="TableContents"/>
              <w:bidi w:val="0"/>
              <w:spacing w:before="0" w:after="283"/>
              <w:jc w:val="right"/>
              <w:rPr/>
            </w:pPr>
            <w:r>
              <w:rPr/>
              <w:t>19</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tcMar>
              <w:bottom w:w="28" w:type="dxa"/>
            </w:tcMar>
            <w:vAlign w:val="center"/>
          </w:tcPr>
          <w:p>
            <w:pPr>
              <w:pStyle w:val="TableContents"/>
              <w:bidi w:val="0"/>
              <w:spacing w:before="0" w:after="283"/>
              <w:jc w:val="right"/>
              <w:rPr/>
            </w:pPr>
            <w:r>
              <w:rPr/>
              <w:t>202</w:t>
            </w:r>
          </w:p>
        </w:tc>
        <w:tc>
          <w:tcPr>
            <w:tcW w:w="177" w:type="dxa"/>
            <w:tcBorders/>
            <w:vAlign w:val="center"/>
          </w:tcPr>
          <w:p>
            <w:pPr>
              <w:pStyle w:val="TableContents"/>
              <w:bidi w:val="0"/>
              <w:spacing w:before="0" w:after="283"/>
              <w:jc w:val="left"/>
              <w:rPr/>
            </w:pPr>
            <w:r>
              <w:rPr/>
              <w:t> </w:t>
            </w:r>
          </w:p>
        </w:tc>
      </w:tr>
      <w:tr>
        <w:trPr/>
        <w:tc>
          <w:tcPr>
            <w:tcW w:w="5787" w:type="dxa"/>
            <w:tcBorders/>
            <w:shd w:fill="CCEEFF" w:val="clear"/>
            <w:vAlign w:val="center"/>
          </w:tcPr>
          <w:p>
            <w:pPr>
              <w:pStyle w:val="TableContents"/>
              <w:bidi w:val="0"/>
              <w:spacing w:before="0" w:after="283"/>
              <w:jc w:val="left"/>
              <w:rPr/>
            </w:pPr>
            <w:r>
              <w:rPr/>
              <w:t>Operating loss from discontinued operations</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(8</w:t>
            </w:r>
          </w:p>
        </w:tc>
        <w:tc>
          <w:tcPr>
            <w:tcW w:w="188" w:type="dxa"/>
            <w:tcBorders/>
            <w:shd w:fill="CCEEFF" w:val="clear"/>
            <w:vAlign w:val="center"/>
          </w:tcPr>
          <w:p>
            <w:pPr>
              <w:pStyle w:val="TableContents"/>
              <w:bidi w:val="0"/>
              <w:spacing w:before="0" w:after="283"/>
              <w:jc w:val="left"/>
              <w:rPr/>
            </w:pPr>
            <w:r>
              <w:rPr/>
              <w:t>)</w:t>
            </w:r>
          </w:p>
        </w:tc>
        <w:tc>
          <w:tcPr>
            <w:tcW w:w="13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551" w:type="dxa"/>
            <w:tcBorders/>
            <w:shd w:fill="CCEEFF" w:val="cle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(19</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pPr>
            <w:r>
              <w:rPr/>
              <w:t>(202</w:t>
            </w:r>
          </w:p>
        </w:tc>
        <w:tc>
          <w:tcPr>
            <w:tcW w:w="177" w:type="dxa"/>
            <w:tcBorders/>
            <w:shd w:fill="CCEEFF" w:val="clear"/>
            <w:vAlign w:val="center"/>
          </w:tcPr>
          <w:p>
            <w:pPr>
              <w:pStyle w:val="TableContents"/>
              <w:bidi w:val="0"/>
              <w:spacing w:before="0" w:after="283"/>
              <w:jc w:val="left"/>
              <w:rPr/>
            </w:pPr>
            <w:r>
              <w:rPr/>
              <w:t>)</w:t>
            </w:r>
          </w:p>
        </w:tc>
      </w:tr>
      <w:tr>
        <w:trPr/>
        <w:tc>
          <w:tcPr>
            <w:tcW w:w="5787"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110</w:t>
            </w:r>
          </w:p>
        </w:tc>
        <w:tc>
          <w:tcPr>
            <w:tcW w:w="18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547" w:type="dxa"/>
            <w:tcBorders>
              <w:bottom w:val="single" w:sz="12" w:space="0" w:color="000000"/>
            </w:tcBorders>
            <w:tcMar>
              <w:bottom w:w="28" w:type="dxa"/>
            </w:tcMar>
            <w:vAlign w:val="center"/>
          </w:tcPr>
          <w:p>
            <w:pPr>
              <w:pStyle w:val="TableContents"/>
              <w:bidi w:val="0"/>
              <w:spacing w:before="0" w:after="283"/>
              <w:jc w:val="right"/>
              <w:rPr/>
            </w:pPr>
            <w:r>
              <w:rPr/>
              <w:t>110</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tcMar>
              <w:bottom w:w="28" w:type="dxa"/>
            </w:tcMar>
            <w:vAlign w:val="center"/>
          </w:tcPr>
          <w:p>
            <w:pPr>
              <w:pStyle w:val="TableContents"/>
              <w:bidi w:val="0"/>
              <w:spacing w:before="0" w:after="283"/>
              <w:jc w:val="right"/>
              <w:rPr/>
            </w:pPr>
            <w:r>
              <w:rPr/>
              <w:t>195</w:t>
            </w:r>
          </w:p>
        </w:tc>
        <w:tc>
          <w:tcPr>
            <w:tcW w:w="177" w:type="dxa"/>
            <w:tcBorders/>
            <w:vAlign w:val="center"/>
          </w:tcPr>
          <w:p>
            <w:pPr>
              <w:pStyle w:val="TableContents"/>
              <w:bidi w:val="0"/>
              <w:spacing w:before="0" w:after="283"/>
              <w:jc w:val="left"/>
              <w:rPr/>
            </w:pPr>
            <w:r>
              <w:rPr/>
              <w:t> </w:t>
            </w:r>
          </w:p>
        </w:tc>
      </w:tr>
      <w:tr>
        <w:trPr/>
        <w:tc>
          <w:tcPr>
            <w:tcW w:w="5787"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188"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shd w:fill="CCEEFF" w:val="clear"/>
            <w:tcMar>
              <w:bottom w:w="28" w:type="dxa"/>
            </w:tcMar>
            <w:vAlign w:val="center"/>
          </w:tcPr>
          <w:p>
            <w:pPr>
              <w:pStyle w:val="TableContents"/>
              <w:bidi w:val="0"/>
              <w:spacing w:before="0" w:after="283"/>
              <w:jc w:val="right"/>
              <w:rPr/>
            </w:pPr>
            <w:r>
              <w:rPr/>
              <w:t>195</w:t>
            </w:r>
          </w:p>
        </w:tc>
        <w:tc>
          <w:tcPr>
            <w:tcW w:w="177" w:type="dxa"/>
            <w:tcBorders/>
            <w:shd w:fill="CCEEFF" w:val="clear"/>
            <w:vAlign w:val="center"/>
          </w:tcPr>
          <w:p>
            <w:pPr>
              <w:pStyle w:val="TableContents"/>
              <w:bidi w:val="0"/>
              <w:spacing w:before="0" w:after="283"/>
              <w:jc w:val="left"/>
              <w:rPr/>
            </w:pPr>
            <w:r>
              <w:rPr/>
              <w:t> </w:t>
            </w:r>
          </w:p>
        </w:tc>
      </w:tr>
      <w:tr>
        <w:trPr/>
        <w:tc>
          <w:tcPr>
            <w:tcW w:w="5787" w:type="dxa"/>
            <w:tcBorders/>
            <w:vAlign w:val="center"/>
          </w:tcPr>
          <w:p>
            <w:pPr>
              <w:pStyle w:val="TableContents"/>
              <w:bidi w:val="0"/>
              <w:spacing w:before="0" w:after="283"/>
              <w:jc w:val="left"/>
              <w:rPr/>
            </w:pPr>
            <w:r>
              <w:rPr/>
              <w:t>Income (loss) from discontinued operations, net of income taxes</w:t>
            </w:r>
          </w:p>
        </w:tc>
        <w:tc>
          <w:tcPr>
            <w:tcW w:w="90" w:type="dxa"/>
            <w:tcBorders/>
            <w:vAlign w:val="center"/>
          </w:tcPr>
          <w:p>
            <w:pPr>
              <w:pStyle w:val="TableContents"/>
              <w:bidi w:val="0"/>
              <w:spacing w:before="0" w:after="283"/>
              <w:jc w:val="left"/>
              <w:rPr/>
            </w:pPr>
            <w:r>
              <w:rPr/>
              <w:t> </w:t>
            </w:r>
          </w:p>
        </w:tc>
        <w:tc>
          <w:tcPr>
            <w:tcW w:w="256" w:type="dxa"/>
            <w:tcBorders>
              <w:bottom w:val="double" w:sz="10" w:space="0" w:color="000000"/>
            </w:tcBorders>
            <w:tcMar>
              <w:bottom w:w="28" w:type="dxa"/>
            </w:tcMar>
            <w:vAlign w:val="center"/>
          </w:tcPr>
          <w:p>
            <w:pPr>
              <w:pStyle w:val="TableContents"/>
              <w:bidi w:val="0"/>
              <w:spacing w:before="0" w:after="283"/>
              <w:jc w:val="left"/>
              <w:rPr/>
            </w:pPr>
            <w:r>
              <w:rPr/>
              <w:t>$</w:t>
            </w:r>
          </w:p>
        </w:tc>
        <w:tc>
          <w:tcPr>
            <w:tcW w:w="620" w:type="dxa"/>
            <w:tcBorders>
              <w:bottom w:val="double" w:sz="10" w:space="0" w:color="000000"/>
            </w:tcBorders>
            <w:tcMar>
              <w:bottom w:w="28" w:type="dxa"/>
            </w:tcMar>
            <w:vAlign w:val="center"/>
          </w:tcPr>
          <w:p>
            <w:pPr>
              <w:pStyle w:val="TableContents"/>
              <w:bidi w:val="0"/>
              <w:spacing w:before="0" w:after="283"/>
              <w:jc w:val="right"/>
              <w:rPr/>
            </w:pPr>
            <w:r>
              <w:rPr/>
              <w:t>102</w:t>
            </w:r>
          </w:p>
        </w:tc>
        <w:tc>
          <w:tcPr>
            <w:tcW w:w="188"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56" w:type="dxa"/>
            <w:tcBorders>
              <w:bottom w:val="double" w:sz="10" w:space="0" w:color="000000"/>
            </w:tcBorders>
            <w:tcMar>
              <w:bottom w:w="28" w:type="dxa"/>
            </w:tcMar>
            <w:vAlign w:val="center"/>
          </w:tcPr>
          <w:p>
            <w:pPr>
              <w:pStyle w:val="TableContents"/>
              <w:bidi w:val="0"/>
              <w:spacing w:before="0" w:after="283"/>
              <w:jc w:val="left"/>
              <w:rPr/>
            </w:pPr>
            <w:r>
              <w:rPr/>
              <w:t>$</w:t>
            </w:r>
          </w:p>
        </w:tc>
        <w:tc>
          <w:tcPr>
            <w:tcW w:w="551" w:type="dxa"/>
            <w:tcBorders>
              <w:bottom w:val="double" w:sz="10" w:space="0" w:color="000000"/>
            </w:tcBorders>
            <w:tcMar>
              <w:bottom w:w="28" w:type="dxa"/>
            </w:tcMar>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6" w:type="dxa"/>
            <w:tcBorders>
              <w:bottom w:val="double" w:sz="10" w:space="0" w:color="000000"/>
            </w:tcBorders>
            <w:tcMar>
              <w:bottom w:w="28" w:type="dxa"/>
            </w:tcMar>
            <w:vAlign w:val="center"/>
          </w:tcPr>
          <w:p>
            <w:pPr>
              <w:pStyle w:val="TableContents"/>
              <w:bidi w:val="0"/>
              <w:spacing w:before="0" w:after="283"/>
              <w:jc w:val="left"/>
              <w:rPr/>
            </w:pPr>
            <w:r>
              <w:rPr/>
              <w:t>$</w:t>
            </w:r>
          </w:p>
        </w:tc>
        <w:tc>
          <w:tcPr>
            <w:tcW w:w="547" w:type="dxa"/>
            <w:tcBorders>
              <w:bottom w:val="double" w:sz="10" w:space="0" w:color="000000"/>
            </w:tcBorders>
            <w:tcMar>
              <w:bottom w:w="28" w:type="dxa"/>
            </w:tcMar>
            <w:vAlign w:val="center"/>
          </w:tcPr>
          <w:p>
            <w:pPr>
              <w:pStyle w:val="TableContents"/>
              <w:bidi w:val="0"/>
              <w:spacing w:before="0" w:after="283"/>
              <w:jc w:val="right"/>
              <w:rPr/>
            </w:pPr>
            <w:r>
              <w:rPr/>
              <w:t>91</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double" w:sz="10" w:space="0" w:color="000000"/>
            </w:tcBorders>
            <w:tcMar>
              <w:bottom w:w="28" w:type="dxa"/>
            </w:tcMar>
            <w:vAlign w:val="center"/>
          </w:tcPr>
          <w:p>
            <w:pPr>
              <w:pStyle w:val="TableContents"/>
              <w:bidi w:val="0"/>
              <w:spacing w:before="0" w:after="283"/>
              <w:jc w:val="left"/>
              <w:rPr/>
            </w:pPr>
            <w:r>
              <w:rPr/>
              <w:t>$</w:t>
            </w:r>
          </w:p>
        </w:tc>
        <w:tc>
          <w:tcPr>
            <w:tcW w:w="646" w:type="dxa"/>
            <w:tcBorders>
              <w:bottom w:val="double" w:sz="10" w:space="0" w:color="000000"/>
            </w:tcBorders>
            <w:tcMar>
              <w:bottom w:w="28" w:type="dxa"/>
            </w:tcMar>
            <w:vAlign w:val="center"/>
          </w:tcPr>
          <w:p>
            <w:pPr>
              <w:pStyle w:val="TableContents"/>
              <w:bidi w:val="0"/>
              <w:spacing w:before="0" w:after="283"/>
              <w:jc w:val="right"/>
              <w:rPr/>
            </w:pPr>
            <w:r>
              <w:rPr/>
              <w:t>(7</w:t>
            </w:r>
          </w:p>
        </w:tc>
        <w:tc>
          <w:tcPr>
            <w:tcW w:w="177"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amounts of the classes of assets and liabilities of discontinued operations as of September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8638" w:type="dxa"/>
        <w:jc w:val="left"/>
        <w:tblInd w:w="0" w:type="dxa"/>
        <w:tblLayout w:type="fixed"/>
        <w:tblCellMar>
          <w:top w:w="0" w:type="dxa"/>
          <w:left w:w="0" w:type="dxa"/>
          <w:bottom w:w="0" w:type="dxa"/>
          <w:right w:w="0" w:type="dxa"/>
        </w:tblCellMar>
      </w:tblPr>
      <w:tblGrid>
        <w:gridCol w:w="4355"/>
        <w:gridCol w:w="90"/>
        <w:gridCol w:w="435"/>
        <w:gridCol w:w="1519"/>
        <w:gridCol w:w="90"/>
        <w:gridCol w:w="90"/>
        <w:gridCol w:w="430"/>
        <w:gridCol w:w="1494"/>
        <w:gridCol w:w="135"/>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pPr>
            <w:r>
              <w:rPr/>
              <w:t>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4" w:type="dxa"/>
            <w:gridSpan w:val="2"/>
            <w:tcBorders>
              <w:bottom w:val="single" w:sz="12" w:space="0" w:color="000000"/>
            </w:tcBorders>
            <w:tcMar>
              <w:bottom w:w="28" w:type="dxa"/>
            </w:tcMar>
            <w:vAlign w:val="center"/>
          </w:tcPr>
          <w:p>
            <w:pPr>
              <w:pStyle w:val="TableContents"/>
              <w:bidi w:val="0"/>
              <w:spacing w:before="0" w:after="283"/>
              <w:jc w:val="center"/>
              <w:rPr/>
            </w:pPr>
            <w:r>
              <w:rPr/>
              <w:t>December 31, 2024</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Current liabilities of discontinued operations:</w:t>
            </w:r>
          </w:p>
        </w:tc>
        <w:tc>
          <w:tcPr>
            <w:tcW w:w="9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w:t>
            </w:r>
          </w:p>
        </w:tc>
        <w:tc>
          <w:tcPr>
            <w:tcW w:w="1519" w:type="dxa"/>
            <w:tcBorders/>
            <w:shd w:fill="CCEEFF" w:val="clear"/>
            <w:vAlign w:val="center"/>
          </w:tcPr>
          <w:p>
            <w:pPr>
              <w:pStyle w:val="TableContents"/>
              <w:bidi w:val="0"/>
              <w:spacing w:before="0" w:after="283"/>
              <w:jc w:val="right"/>
              <w:rPr/>
            </w:pPr>
            <w:r>
              <w:rPr/>
              <w:t>2,667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1494" w:type="dxa"/>
            <w:tcBorders/>
            <w:shd w:fill="CCEEFF" w:val="clear"/>
            <w:vAlign w:val="center"/>
          </w:tcPr>
          <w:p>
            <w:pPr>
              <w:pStyle w:val="TableContents"/>
              <w:bidi w:val="0"/>
              <w:spacing w:before="0" w:after="283"/>
              <w:jc w:val="right"/>
              <w:rPr/>
            </w:pPr>
            <w:r>
              <w:rPr/>
              <w:t>2,781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Prepaid and other current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prepaid and other current assets consisted of the following as of September 30, 2025 and December 31, 2024 (in thousands):</w:t>
      </w:r>
    </w:p>
    <w:p>
      <w:pPr>
        <w:pStyle w:val="TextBody"/>
        <w:bidi w:val="0"/>
        <w:spacing w:before="0" w:after="0"/>
        <w:ind w:left="0" w:right="0" w:hanging="0"/>
        <w:jc w:val="center"/>
        <w:rPr>
          <w:caps w:val="false"/>
          <w:smallCaps w:val="false"/>
        </w:rPr>
      </w:pPr>
      <w:r>
        <w:rPr>
          <w:caps w:val="false"/>
          <w:smallCaps w:val="false"/>
        </w:rPr>
        <w:t> </w:t>
      </w:r>
    </w:p>
    <w:tbl>
      <w:tblPr>
        <w:tblW w:w="7333" w:type="dxa"/>
        <w:jc w:val="left"/>
        <w:tblInd w:w="0" w:type="dxa"/>
        <w:tblLayout w:type="fixed"/>
        <w:tblCellMar>
          <w:top w:w="0" w:type="dxa"/>
          <w:left w:w="0" w:type="dxa"/>
          <w:bottom w:w="0" w:type="dxa"/>
          <w:right w:w="0" w:type="dxa"/>
        </w:tblCellMar>
      </w:tblPr>
      <w:tblGrid>
        <w:gridCol w:w="3050"/>
        <w:gridCol w:w="90"/>
        <w:gridCol w:w="435"/>
        <w:gridCol w:w="1519"/>
        <w:gridCol w:w="90"/>
        <w:gridCol w:w="90"/>
        <w:gridCol w:w="430"/>
        <w:gridCol w:w="1494"/>
        <w:gridCol w:w="135"/>
      </w:tblGrid>
      <w:tr>
        <w:trPr/>
        <w:tc>
          <w:tcPr>
            <w:tcW w:w="30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pPr>
            <w:r>
              <w:rPr/>
              <w:t>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4" w:type="dxa"/>
            <w:gridSpan w:val="2"/>
            <w:tcBorders>
              <w:bottom w:val="single" w:sz="12" w:space="0" w:color="000000"/>
            </w:tcBorders>
            <w:tcMar>
              <w:bottom w:w="28" w:type="dxa"/>
            </w:tcMar>
            <w:vAlign w:val="center"/>
          </w:tcPr>
          <w:p>
            <w:pPr>
              <w:pStyle w:val="TableContents"/>
              <w:bidi w:val="0"/>
              <w:spacing w:before="0" w:after="283"/>
              <w:jc w:val="center"/>
              <w:rPr/>
            </w:pPr>
            <w:r>
              <w:rPr/>
              <w:t>December 31, 2024</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w:t>
            </w:r>
          </w:p>
        </w:tc>
        <w:tc>
          <w:tcPr>
            <w:tcW w:w="1519" w:type="dxa"/>
            <w:tcBorders/>
            <w:shd w:fill="CCEEFF" w:val="clear"/>
            <w:vAlign w:val="center"/>
          </w:tcPr>
          <w:p>
            <w:pPr>
              <w:pStyle w:val="TableContents"/>
              <w:bidi w:val="0"/>
              <w:spacing w:before="0" w:after="283"/>
              <w:jc w:val="right"/>
              <w:rPr/>
            </w:pPr>
            <w:r>
              <w:rPr/>
              <w:t>175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1494" w:type="dxa"/>
            <w:tcBorders/>
            <w:shd w:fill="CCEEFF" w:val="clear"/>
            <w:vAlign w:val="center"/>
          </w:tcPr>
          <w:p>
            <w:pPr>
              <w:pStyle w:val="TableContents"/>
              <w:bidi w:val="0"/>
              <w:spacing w:before="0" w:after="283"/>
              <w:jc w:val="right"/>
              <w:rPr/>
            </w:pPr>
            <w:r>
              <w:rPr/>
              <w:t>70</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Capitalized legal</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519" w:type="dxa"/>
            <w:tcBorders/>
            <w:vAlign w:val="center"/>
          </w:tcPr>
          <w:p>
            <w:pPr>
              <w:pStyle w:val="TableContents"/>
              <w:bidi w:val="0"/>
              <w:spacing w:before="0" w:after="283"/>
              <w:jc w:val="right"/>
              <w:rPr/>
            </w:pPr>
            <w:r>
              <w:rPr/>
              <w:t>2,334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94" w:type="dxa"/>
            <w:tcBorders/>
            <w:vAlign w:val="center"/>
          </w:tcPr>
          <w:p>
            <w:pPr>
              <w:pStyle w:val="TableContents"/>
              <w:bidi w:val="0"/>
              <w:spacing w:before="0" w:after="283"/>
              <w:jc w:val="right"/>
              <w:rPr/>
            </w:pPr>
            <w:r>
              <w:rPr/>
              <w:t>2,334</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4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9" w:type="dxa"/>
            <w:tcBorders>
              <w:bottom w:val="single" w:sz="12" w:space="0" w:color="000000"/>
            </w:tcBorders>
            <w:shd w:fill="CCEEFF" w:val="clear"/>
            <w:tcMar>
              <w:bottom w:w="28" w:type="dxa"/>
            </w:tcMar>
            <w:vAlign w:val="center"/>
          </w:tcPr>
          <w:p>
            <w:pPr>
              <w:pStyle w:val="TableContents"/>
              <w:bidi w:val="0"/>
              <w:spacing w:before="0" w:after="283"/>
              <w:jc w:val="right"/>
              <w:rPr/>
            </w:pPr>
            <w:r>
              <w:rPr/>
              <w:t>1,214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94" w:type="dxa"/>
            <w:tcBorders>
              <w:bottom w:val="single" w:sz="12" w:space="0" w:color="000000"/>
            </w:tcBorders>
            <w:shd w:fill="CCEEFF" w:val="clear"/>
            <w:tcMar>
              <w:bottom w:w="28" w:type="dxa"/>
            </w:tcMar>
            <w:vAlign w:val="center"/>
          </w:tcPr>
          <w:p>
            <w:pPr>
              <w:pStyle w:val="TableContents"/>
              <w:bidi w:val="0"/>
              <w:spacing w:before="0" w:after="283"/>
              <w:jc w:val="right"/>
              <w:rPr/>
            </w:pPr>
            <w:r>
              <w:rPr/>
              <w:t>1,234</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Prepaid and other current assets</w:t>
            </w:r>
          </w:p>
        </w:tc>
        <w:tc>
          <w:tcPr>
            <w:tcW w:w="90" w:type="dxa"/>
            <w:tcBorders/>
            <w:vAlign w:val="center"/>
          </w:tcPr>
          <w:p>
            <w:pPr>
              <w:pStyle w:val="TableContents"/>
              <w:bidi w:val="0"/>
              <w:spacing w:before="0" w:after="283"/>
              <w:jc w:val="left"/>
              <w:rPr/>
            </w:pPr>
            <w:r>
              <w:rPr/>
              <w:t> </w:t>
            </w:r>
          </w:p>
        </w:tc>
        <w:tc>
          <w:tcPr>
            <w:tcW w:w="435" w:type="dxa"/>
            <w:tcBorders>
              <w:bottom w:val="double" w:sz="10" w:space="0" w:color="000000"/>
            </w:tcBorders>
            <w:tcMar>
              <w:bottom w:w="28" w:type="dxa"/>
            </w:tcMar>
            <w:vAlign w:val="center"/>
          </w:tcPr>
          <w:p>
            <w:pPr>
              <w:pStyle w:val="TableContents"/>
              <w:bidi w:val="0"/>
              <w:spacing w:before="0" w:after="283"/>
              <w:jc w:val="left"/>
              <w:rPr/>
            </w:pPr>
            <w:r>
              <w:rPr/>
              <w:t>$</w:t>
            </w:r>
          </w:p>
        </w:tc>
        <w:tc>
          <w:tcPr>
            <w:tcW w:w="1519" w:type="dxa"/>
            <w:tcBorders>
              <w:bottom w:val="double" w:sz="10" w:space="0" w:color="000000"/>
            </w:tcBorders>
            <w:tcMar>
              <w:bottom w:w="28" w:type="dxa"/>
            </w:tcMar>
            <w:vAlign w:val="center"/>
          </w:tcPr>
          <w:p>
            <w:pPr>
              <w:pStyle w:val="TableContents"/>
              <w:bidi w:val="0"/>
              <w:spacing w:before="0" w:after="283"/>
              <w:jc w:val="right"/>
              <w:rPr/>
            </w:pPr>
            <w:r>
              <w:rPr/>
              <w:t>3,723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 w:type="dxa"/>
            <w:tcBorders>
              <w:bottom w:val="double" w:sz="10" w:space="0" w:color="000000"/>
            </w:tcBorders>
            <w:tcMar>
              <w:bottom w:w="28" w:type="dxa"/>
            </w:tcMar>
            <w:vAlign w:val="center"/>
          </w:tcPr>
          <w:p>
            <w:pPr>
              <w:pStyle w:val="TableContents"/>
              <w:bidi w:val="0"/>
              <w:spacing w:before="0" w:after="283"/>
              <w:jc w:val="left"/>
              <w:rPr/>
            </w:pPr>
            <w:r>
              <w:rPr/>
              <w:t>$</w:t>
            </w:r>
          </w:p>
        </w:tc>
        <w:tc>
          <w:tcPr>
            <w:tcW w:w="1494" w:type="dxa"/>
            <w:tcBorders>
              <w:bottom w:val="double" w:sz="10" w:space="0" w:color="000000"/>
            </w:tcBorders>
            <w:tcMar>
              <w:bottom w:w="28" w:type="dxa"/>
            </w:tcMar>
            <w:vAlign w:val="center"/>
          </w:tcPr>
          <w:p>
            <w:pPr>
              <w:pStyle w:val="TableContents"/>
              <w:bidi w:val="0"/>
              <w:spacing w:before="0" w:after="283"/>
              <w:jc w:val="right"/>
              <w:rPr/>
            </w:pPr>
            <w:r>
              <w:rPr/>
              <w:t>3,638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Licensed rights and other intangible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information about our license rights and other intangible assets, net as of September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3"/>
        <w:gridCol w:w="90"/>
        <w:gridCol w:w="271"/>
        <w:gridCol w:w="942"/>
        <w:gridCol w:w="90"/>
        <w:gridCol w:w="90"/>
        <w:gridCol w:w="357"/>
        <w:gridCol w:w="1242"/>
        <w:gridCol w:w="90"/>
        <w:gridCol w:w="90"/>
        <w:gridCol w:w="170"/>
        <w:gridCol w:w="590"/>
        <w:gridCol w:w="90"/>
        <w:gridCol w:w="90"/>
        <w:gridCol w:w="271"/>
        <w:gridCol w:w="942"/>
        <w:gridCol w:w="90"/>
        <w:gridCol w:w="90"/>
        <w:gridCol w:w="357"/>
        <w:gridCol w:w="1242"/>
        <w:gridCol w:w="90"/>
        <w:gridCol w:w="90"/>
        <w:gridCol w:w="170"/>
        <w:gridCol w:w="590"/>
        <w:gridCol w:w="138"/>
      </w:tblGrid>
      <w:tr>
        <w:trPr/>
        <w:tc>
          <w:tcPr>
            <w:tcW w:w="1933"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932" w:type="dxa"/>
            <w:gridSpan w:val="10"/>
            <w:tcBorders>
              <w:bottom w:val="single" w:sz="12" w:space="0" w:color="000000"/>
            </w:tcBorders>
            <w:tcMar>
              <w:bottom w:w="28" w:type="dxa"/>
            </w:tcMar>
            <w:vAlign w:val="center"/>
          </w:tcPr>
          <w:p>
            <w:pPr>
              <w:pStyle w:val="TableContents"/>
              <w:bidi w:val="0"/>
              <w:spacing w:before="0" w:after="283"/>
              <w:jc w:val="center"/>
              <w:rPr/>
            </w:pPr>
            <w:r>
              <w:rPr/>
              <w:t>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2" w:type="dxa"/>
            <w:gridSpan w:val="10"/>
            <w:tcBorders>
              <w:bottom w:val="single" w:sz="12" w:space="0" w:color="000000"/>
            </w:tcBorders>
            <w:tcMar>
              <w:bottom w:w="28" w:type="dxa"/>
            </w:tcMar>
            <w:vAlign w:val="center"/>
          </w:tcPr>
          <w:p>
            <w:pPr>
              <w:pStyle w:val="TableContents"/>
              <w:bidi w:val="0"/>
              <w:spacing w:before="0" w:after="283"/>
              <w:jc w:val="center"/>
              <w:rPr/>
            </w:pPr>
            <w:r>
              <w:rPr/>
              <w:t>December 31, 2024</w:t>
            </w:r>
          </w:p>
        </w:tc>
        <w:tc>
          <w:tcPr>
            <w:tcW w:w="138" w:type="dxa"/>
            <w:tcBorders/>
            <w:vAlign w:val="center"/>
          </w:tcPr>
          <w:p>
            <w:pPr>
              <w:pStyle w:val="TableContents"/>
              <w:bidi w:val="0"/>
              <w:spacing w:before="0" w:after="283"/>
              <w:ind w:left="0" w:right="0" w:hanging="180"/>
              <w:jc w:val="left"/>
              <w:rPr/>
            </w:pPr>
            <w:r>
              <w:rPr/>
              <w:t> </w:t>
            </w:r>
          </w:p>
        </w:tc>
      </w:tr>
      <w:tr>
        <w:trPr/>
        <w:tc>
          <w:tcPr>
            <w:tcW w:w="19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3" w:type="dxa"/>
            <w:gridSpan w:val="2"/>
            <w:tcBorders>
              <w:bottom w:val="single" w:sz="12" w:space="0" w:color="000000"/>
            </w:tcBorders>
            <w:tcMar>
              <w:bottom w:w="28" w:type="dxa"/>
            </w:tcMar>
            <w:vAlign w:val="center"/>
          </w:tcPr>
          <w:p>
            <w:pPr>
              <w:pStyle w:val="TableContents"/>
              <w:bidi w:val="0"/>
              <w:spacing w:before="0" w:after="283"/>
              <w:jc w:val="center"/>
              <w:rPr/>
            </w:pPr>
            <w:r>
              <w:rPr/>
              <w:t>Gross Carrying 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9" w:type="dxa"/>
            <w:gridSpan w:val="2"/>
            <w:tcBorders>
              <w:bottom w:val="single" w:sz="12" w:space="0" w:color="000000"/>
            </w:tcBorders>
            <w:tcMar>
              <w:bottom w:w="28" w:type="dxa"/>
            </w:tcMar>
            <w:vAlign w:val="center"/>
          </w:tcPr>
          <w:p>
            <w:pPr>
              <w:pStyle w:val="TableContents"/>
              <w:bidi w:val="0"/>
              <w:spacing w:before="0" w:after="283"/>
              <w:jc w:val="center"/>
              <w:rPr/>
            </w:pPr>
            <w:r>
              <w:rPr/>
              <w:t>Accumulated 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3" w:type="dxa"/>
            <w:gridSpan w:val="2"/>
            <w:tcBorders>
              <w:bottom w:val="single" w:sz="12" w:space="0" w:color="000000"/>
            </w:tcBorders>
            <w:tcMar>
              <w:bottom w:w="28" w:type="dxa"/>
            </w:tcMar>
            <w:vAlign w:val="center"/>
          </w:tcPr>
          <w:p>
            <w:pPr>
              <w:pStyle w:val="TableContents"/>
              <w:bidi w:val="0"/>
              <w:spacing w:before="0" w:after="283"/>
              <w:jc w:val="center"/>
              <w:rPr/>
            </w:pPr>
            <w:r>
              <w:rPr/>
              <w:t>Gross Carrying 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9" w:type="dxa"/>
            <w:gridSpan w:val="2"/>
            <w:tcBorders>
              <w:bottom w:val="single" w:sz="12" w:space="0" w:color="000000"/>
            </w:tcBorders>
            <w:tcMar>
              <w:bottom w:w="28" w:type="dxa"/>
            </w:tcMar>
            <w:vAlign w:val="center"/>
          </w:tcPr>
          <w:p>
            <w:pPr>
              <w:pStyle w:val="TableContents"/>
              <w:bidi w:val="0"/>
              <w:spacing w:before="0" w:after="283"/>
              <w:jc w:val="center"/>
              <w:rPr/>
            </w:pPr>
            <w:r>
              <w:rPr/>
              <w:t>Accumulated 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Net</w:t>
            </w:r>
          </w:p>
        </w:tc>
        <w:tc>
          <w:tcPr>
            <w:tcW w:w="138" w:type="dxa"/>
            <w:tcBorders/>
            <w:vAlign w:val="center"/>
          </w:tcPr>
          <w:p>
            <w:pPr>
              <w:pStyle w:val="TableContents"/>
              <w:bidi w:val="0"/>
              <w:spacing w:before="0" w:after="283"/>
              <w:ind w:left="0" w:right="0" w:hanging="180"/>
              <w:jc w:val="left"/>
              <w:rPr/>
            </w:pPr>
            <w:r>
              <w:rPr/>
              <w:t> </w:t>
            </w:r>
          </w:p>
        </w:tc>
      </w:tr>
      <w:tr>
        <w:trPr/>
        <w:tc>
          <w:tcPr>
            <w:tcW w:w="1933" w:type="dxa"/>
            <w:tcBorders/>
            <w:shd w:fill="CCEEFF" w:val="clear"/>
            <w:vAlign w:val="center"/>
          </w:tcPr>
          <w:p>
            <w:pPr>
              <w:pStyle w:val="TableContents"/>
              <w:bidi w:val="0"/>
              <w:spacing w:before="0" w:after="283"/>
              <w:jc w:val="left"/>
              <w:rPr/>
            </w:pPr>
            <w:r>
              <w:rPr/>
              <w:t>Intangible assets subject to amortization:</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1933" w:type="dxa"/>
            <w:tcBorders/>
            <w:vAlign w:val="center"/>
          </w:tcPr>
          <w:p>
            <w:pPr>
              <w:pStyle w:val="TableContents"/>
              <w:bidi w:val="0"/>
              <w:spacing w:before="0" w:after="283"/>
              <w:jc w:val="left"/>
              <w:rPr/>
            </w:pPr>
            <w:r>
              <w:rPr/>
              <w:t>Hormone therapy drug patents</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942" w:type="dxa"/>
            <w:tcBorders/>
            <w:vAlign w:val="center"/>
          </w:tcPr>
          <w:p>
            <w:pPr>
              <w:pStyle w:val="TableContents"/>
              <w:bidi w:val="0"/>
              <w:spacing w:before="0" w:after="283"/>
              <w:jc w:val="right"/>
              <w:rPr/>
            </w:pPr>
            <w:r>
              <w:rPr/>
              <w:t>5,770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1242" w:type="dxa"/>
            <w:tcBorders/>
            <w:vAlign w:val="center"/>
          </w:tcPr>
          <w:p>
            <w:pPr>
              <w:pStyle w:val="TableContents"/>
              <w:bidi w:val="0"/>
              <w:spacing w:before="0" w:after="283"/>
              <w:jc w:val="right"/>
              <w:rPr/>
            </w:pPr>
            <w:r>
              <w:rPr/>
              <w:t>2,345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3,425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942" w:type="dxa"/>
            <w:tcBorders/>
            <w:vAlign w:val="center"/>
          </w:tcPr>
          <w:p>
            <w:pPr>
              <w:pStyle w:val="TableContents"/>
              <w:bidi w:val="0"/>
              <w:spacing w:before="0" w:after="283"/>
              <w:jc w:val="right"/>
              <w:rPr/>
            </w:pPr>
            <w:r>
              <w:rPr/>
              <w:t>5,766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w:t>
            </w:r>
          </w:p>
        </w:tc>
        <w:tc>
          <w:tcPr>
            <w:tcW w:w="1242" w:type="dxa"/>
            <w:tcBorders/>
            <w:vAlign w:val="center"/>
          </w:tcPr>
          <w:p>
            <w:pPr>
              <w:pStyle w:val="TableContents"/>
              <w:bidi w:val="0"/>
              <w:spacing w:before="0" w:after="283"/>
              <w:jc w:val="right"/>
              <w:rPr/>
            </w:pPr>
            <w:r>
              <w:rPr/>
              <w:t>2,058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3,708</w:t>
            </w:r>
          </w:p>
        </w:tc>
        <w:tc>
          <w:tcPr>
            <w:tcW w:w="138" w:type="dxa"/>
            <w:tcBorders/>
            <w:vAlign w:val="center"/>
          </w:tcPr>
          <w:p>
            <w:pPr>
              <w:pStyle w:val="TableContents"/>
              <w:bidi w:val="0"/>
              <w:spacing w:before="0" w:after="283"/>
              <w:ind w:left="0" w:right="0" w:hanging="180"/>
              <w:jc w:val="left"/>
              <w:rPr/>
            </w:pPr>
            <w:r>
              <w:rPr/>
              <w:t> </w:t>
            </w:r>
          </w:p>
        </w:tc>
      </w:tr>
      <w:tr>
        <w:trPr/>
        <w:tc>
          <w:tcPr>
            <w:tcW w:w="1933" w:type="dxa"/>
            <w:tcBorders/>
            <w:shd w:fill="CCEEFF" w:val="clear"/>
            <w:vAlign w:val="center"/>
          </w:tcPr>
          <w:p>
            <w:pPr>
              <w:pStyle w:val="TableContents"/>
              <w:bidi w:val="0"/>
              <w:spacing w:before="0" w:after="283"/>
              <w:jc w:val="left"/>
              <w:rPr/>
            </w:pPr>
            <w:r>
              <w:rPr/>
              <w:t>Hormone therapy drug patents applied</w:t>
              <w:br/>
              <w:t>and pending approval</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center"/>
          </w:tcPr>
          <w:p>
            <w:pPr>
              <w:pStyle w:val="TableContents"/>
              <w:bidi w:val="0"/>
              <w:spacing w:before="0" w:after="283"/>
              <w:jc w:val="right"/>
              <w:rPr/>
            </w:pPr>
            <w:r>
              <w:rPr/>
              <w:t>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304</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1933" w:type="dxa"/>
            <w:tcBorders/>
            <w:vAlign w:val="center"/>
          </w:tcPr>
          <w:p>
            <w:pPr>
              <w:pStyle w:val="TableContents"/>
              <w:bidi w:val="0"/>
              <w:spacing w:before="0" w:after="283"/>
              <w:jc w:val="left"/>
              <w:rPr/>
            </w:pPr>
            <w:r>
              <w:rPr/>
              <w:t>Intangible assets subject to amortization</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5,950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2,345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3,605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6,070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2,058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4,012</w:t>
            </w:r>
          </w:p>
        </w:tc>
        <w:tc>
          <w:tcPr>
            <w:tcW w:w="138" w:type="dxa"/>
            <w:tcBorders/>
            <w:vAlign w:val="center"/>
          </w:tcPr>
          <w:p>
            <w:pPr>
              <w:pStyle w:val="TableContents"/>
              <w:bidi w:val="0"/>
              <w:spacing w:before="0" w:after="283"/>
              <w:ind w:left="0" w:right="0" w:hanging="180"/>
              <w:jc w:val="left"/>
              <w:rPr/>
            </w:pPr>
            <w:r>
              <w:rPr/>
              <w:t> </w:t>
            </w:r>
          </w:p>
        </w:tc>
      </w:tr>
      <w:tr>
        <w:trPr/>
        <w:tc>
          <w:tcPr>
            <w:tcW w:w="1933" w:type="dxa"/>
            <w:tcBorders/>
            <w:shd w:fill="CCEEFF" w:val="clear"/>
            <w:vAlign w:val="center"/>
          </w:tcPr>
          <w:p>
            <w:pPr>
              <w:pStyle w:val="TableContents"/>
              <w:bidi w:val="0"/>
              <w:spacing w:before="0" w:after="283"/>
              <w:jc w:val="left"/>
              <w:rPr/>
            </w:pPr>
            <w:r>
              <w:rPr/>
              <w:t>Intangible assets not subject to amortization:</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38" w:type="dxa"/>
            <w:tcBorders/>
            <w:shd w:fill="CCEEFF" w:val="clear"/>
            <w:vAlign w:val="center"/>
          </w:tcPr>
          <w:p>
            <w:pPr>
              <w:pStyle w:val="TableContents"/>
              <w:bidi w:val="0"/>
              <w:spacing w:before="0" w:after="283"/>
              <w:ind w:left="0" w:right="0" w:hanging="180"/>
              <w:jc w:val="left"/>
              <w:rPr/>
            </w:pPr>
            <w:r>
              <w:rPr/>
              <w:t> </w:t>
            </w:r>
          </w:p>
        </w:tc>
      </w:tr>
      <w:tr>
        <w:trPr/>
        <w:tc>
          <w:tcPr>
            <w:tcW w:w="1933" w:type="dxa"/>
            <w:tcBorders/>
            <w:vAlign w:val="center"/>
          </w:tcPr>
          <w:p>
            <w:pPr>
              <w:pStyle w:val="TableContents"/>
              <w:bidi w:val="0"/>
              <w:spacing w:before="0" w:after="283"/>
              <w:jc w:val="left"/>
              <w:rPr/>
            </w:pPr>
            <w:r>
              <w:rPr/>
              <w:t>Trademarks/trade name rights</w:t>
            </w:r>
          </w:p>
        </w:tc>
        <w:tc>
          <w:tcPr>
            <w:tcW w:w="90" w:type="dxa"/>
            <w:tcBorders/>
            <w:vAlign w:val="center"/>
          </w:tcPr>
          <w:p>
            <w:pPr>
              <w:pStyle w:val="TableContents"/>
              <w:bidi w:val="0"/>
              <w:spacing w:before="0" w:after="283"/>
              <w:jc w:val="left"/>
              <w:rPr/>
            </w:pPr>
            <w:r>
              <w:rPr/>
              <w:t> </w:t>
            </w:r>
          </w:p>
        </w:tc>
        <w:tc>
          <w:tcPr>
            <w:tcW w:w="2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tcMar>
              <w:bottom w:w="28" w:type="dxa"/>
            </w:tcMar>
            <w:vAlign w:val="center"/>
          </w:tcPr>
          <w:p>
            <w:pPr>
              <w:pStyle w:val="TableContents"/>
              <w:bidi w:val="0"/>
              <w:spacing w:before="0" w:after="283"/>
              <w:jc w:val="right"/>
              <w:rPr/>
            </w:pPr>
            <w:r>
              <w:rPr/>
              <w:t>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bottom w:val="single" w:sz="12" w:space="0" w:color="000000"/>
            </w:tcBorders>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tcMar>
              <w:bottom w:w="28" w:type="dxa"/>
            </w:tcMar>
            <w:vAlign w:val="center"/>
          </w:tcPr>
          <w:p>
            <w:pPr>
              <w:pStyle w:val="TableContents"/>
              <w:bidi w:val="0"/>
              <w:spacing w:before="0" w:after="283"/>
              <w:jc w:val="right"/>
              <w:rPr/>
            </w:pPr>
            <w:r>
              <w:rPr/>
              <w:t>309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309</w:t>
            </w:r>
          </w:p>
        </w:tc>
        <w:tc>
          <w:tcPr>
            <w:tcW w:w="138" w:type="dxa"/>
            <w:tcBorders/>
            <w:vAlign w:val="center"/>
          </w:tcPr>
          <w:p>
            <w:pPr>
              <w:pStyle w:val="TableContents"/>
              <w:bidi w:val="0"/>
              <w:spacing w:before="0" w:after="283"/>
              <w:ind w:left="0" w:right="0" w:hanging="180"/>
              <w:jc w:val="left"/>
              <w:rPr/>
            </w:pPr>
            <w:r>
              <w:rPr/>
              <w:t> </w:t>
            </w:r>
          </w:p>
        </w:tc>
      </w:tr>
      <w:tr>
        <w:trPr/>
        <w:tc>
          <w:tcPr>
            <w:tcW w:w="1933" w:type="dxa"/>
            <w:tcBorders/>
            <w:shd w:fill="CCEEFF" w:val="clear"/>
            <w:vAlign w:val="center"/>
          </w:tcPr>
          <w:p>
            <w:pPr>
              <w:pStyle w:val="TableContents"/>
              <w:bidi w:val="0"/>
              <w:spacing w:before="0" w:after="283"/>
              <w:jc w:val="left"/>
              <w:rPr/>
            </w:pPr>
            <w:r>
              <w:rPr/>
              <w:t>License rights and other intangible assets, net</w:t>
            </w:r>
          </w:p>
        </w:tc>
        <w:tc>
          <w:tcPr>
            <w:tcW w:w="90" w:type="dxa"/>
            <w:tcBorders/>
            <w:shd w:fill="CCEEFF" w:val="clear"/>
            <w:vAlign w:val="center"/>
          </w:tcPr>
          <w:p>
            <w:pPr>
              <w:pStyle w:val="TableContents"/>
              <w:bidi w:val="0"/>
              <w:spacing w:before="0" w:after="283"/>
              <w:jc w:val="left"/>
              <w:rPr/>
            </w:pPr>
            <w:r>
              <w:rPr/>
              <w:t> </w:t>
            </w:r>
          </w:p>
        </w:tc>
        <w:tc>
          <w:tcPr>
            <w:tcW w:w="2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2" w:type="dxa"/>
            <w:tcBorders>
              <w:bottom w:val="double" w:sz="10" w:space="0" w:color="000000"/>
            </w:tcBorders>
            <w:shd w:fill="CCEEFF" w:val="clear"/>
            <w:tcMar>
              <w:bottom w:w="28" w:type="dxa"/>
            </w:tcMar>
            <w:vAlign w:val="center"/>
          </w:tcPr>
          <w:p>
            <w:pPr>
              <w:pStyle w:val="TableContents"/>
              <w:bidi w:val="0"/>
              <w:spacing w:before="0" w:after="283"/>
              <w:jc w:val="right"/>
              <w:rPr/>
            </w:pPr>
            <w:r>
              <w:rPr/>
              <w:t>6,259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pPr>
            <w:r>
              <w:rPr/>
              <w:t>2,345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3,914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2" w:type="dxa"/>
            <w:tcBorders>
              <w:bottom w:val="double" w:sz="10" w:space="0" w:color="000000"/>
            </w:tcBorders>
            <w:shd w:fill="CCEEFF" w:val="clear"/>
            <w:tcMar>
              <w:bottom w:w="28" w:type="dxa"/>
            </w:tcMar>
            <w:vAlign w:val="center"/>
          </w:tcPr>
          <w:p>
            <w:pPr>
              <w:pStyle w:val="TableContents"/>
              <w:bidi w:val="0"/>
              <w:spacing w:before="0" w:after="283"/>
              <w:jc w:val="right"/>
              <w:rPr/>
            </w:pPr>
            <w:r>
              <w:rPr/>
              <w:t>6,379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pPr>
            <w:r>
              <w:rPr/>
              <w:t>2,058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4,321</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 continuing operations, amortization expense related to patents of $96 thousand and $96 thousand for the three months ended September 30, 2025 and 2024, respectively, and $287 thousand and $409 thousand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regular reviews of the individual patents and portfolios. During the nine months ended September 30, 2025, we recorded $120 thousand in write-off of patents pending approval as a result of our review. For the six months ended June 30, 2024, we determined there was an indicator of impairment, as we had abandoned the legal right and title to a portion of our granted patent portfolio and had ceased pursuit of a portion of the pending patents based on input from our licensing partners. We recognized an impairment loss of $1,261 thousand related to those abandoned patents and applications, which is classified as an impairment of long-lived assets on our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subject to amortization are expected to be amortized as follows (in thousands):</w:t>
      </w:r>
    </w:p>
    <w:p>
      <w:pPr>
        <w:pStyle w:val="TextBody"/>
        <w:bidi w:val="0"/>
        <w:spacing w:before="0" w:after="0"/>
        <w:ind w:left="0" w:right="0" w:hanging="0"/>
        <w:jc w:val="center"/>
        <w:rPr>
          <w:caps w:val="false"/>
          <w:smallCaps w:val="false"/>
        </w:rPr>
      </w:pPr>
      <w:r>
        <w:rPr>
          <w:caps w:val="false"/>
          <w:smallCaps w:val="false"/>
        </w:rPr>
        <w:t> </w:t>
      </w:r>
    </w:p>
    <w:tbl>
      <w:tblPr>
        <w:tblW w:w="2672" w:type="dxa"/>
        <w:jc w:val="left"/>
        <w:tblInd w:w="0" w:type="dxa"/>
        <w:tblLayout w:type="fixed"/>
        <w:tblCellMar>
          <w:top w:w="0" w:type="dxa"/>
          <w:left w:w="0" w:type="dxa"/>
          <w:bottom w:w="28" w:type="dxa"/>
          <w:right w:w="0" w:type="dxa"/>
        </w:tblCellMar>
      </w:tblPr>
      <w:tblGrid>
        <w:gridCol w:w="1373"/>
        <w:gridCol w:w="118"/>
        <w:gridCol w:w="224"/>
        <w:gridCol w:w="779"/>
        <w:gridCol w:w="178"/>
      </w:tblGrid>
      <w:tr>
        <w:trPr/>
        <w:tc>
          <w:tcPr>
            <w:tcW w:w="2672" w:type="dxa"/>
            <w:gridSpan w:val="5"/>
            <w:tcBorders>
              <w:bottom w:val="single" w:sz="12" w:space="0" w:color="000000"/>
            </w:tcBorders>
            <w:vAlign w:val="center"/>
          </w:tcPr>
          <w:p>
            <w:pPr>
              <w:pStyle w:val="TableContents"/>
              <w:bidi w:val="0"/>
              <w:spacing w:before="0" w:after="283"/>
              <w:jc w:val="center"/>
              <w:rPr/>
            </w:pPr>
            <w:r>
              <w:rPr/>
              <w:t>Year ending December 31,</w:t>
            </w:r>
          </w:p>
        </w:tc>
      </w:tr>
      <w:tr>
        <w:trPr/>
        <w:tc>
          <w:tcPr>
            <w:tcW w:w="1373" w:type="dxa"/>
            <w:tcBorders/>
            <w:shd w:fill="CCEEFF" w:val="clear"/>
            <w:tcMar>
              <w:bottom w:w="0" w:type="dxa"/>
            </w:tcMar>
            <w:vAlign w:val="center"/>
          </w:tcPr>
          <w:p>
            <w:pPr>
              <w:pStyle w:val="TableContents"/>
              <w:bidi w:val="0"/>
              <w:spacing w:before="0" w:after="283"/>
              <w:jc w:val="left"/>
              <w:rPr/>
            </w:pPr>
            <w:r>
              <w:rPr/>
              <w:t>2025</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w:t>
            </w:r>
          </w:p>
        </w:tc>
        <w:tc>
          <w:tcPr>
            <w:tcW w:w="779" w:type="dxa"/>
            <w:tcBorders/>
            <w:shd w:fill="CCEEFF" w:val="clear"/>
            <w:tcMar>
              <w:bottom w:w="0" w:type="dxa"/>
            </w:tcMar>
            <w:vAlign w:val="center"/>
          </w:tcPr>
          <w:p>
            <w:pPr>
              <w:pStyle w:val="TableContents"/>
              <w:bidi w:val="0"/>
              <w:spacing w:before="0" w:after="283"/>
              <w:jc w:val="right"/>
              <w:rPr/>
            </w:pPr>
            <w:r>
              <w:rPr/>
              <w:t>97</w:t>
            </w:r>
          </w:p>
        </w:tc>
        <w:tc>
          <w:tcPr>
            <w:tcW w:w="178" w:type="dxa"/>
            <w:tcBorders/>
            <w:shd w:fill="CCEEFF" w:val="clear"/>
            <w:tcMar>
              <w:bottom w:w="0" w:type="dxa"/>
            </w:tcMar>
            <w:vAlign w:val="center"/>
          </w:tcPr>
          <w:p>
            <w:pPr>
              <w:pStyle w:val="TableContents"/>
              <w:bidi w:val="0"/>
              <w:spacing w:before="0" w:after="283"/>
              <w:jc w:val="left"/>
              <w:rPr/>
            </w:pPr>
            <w:r>
              <w:rPr/>
              <w:t> </w:t>
            </w:r>
          </w:p>
        </w:tc>
      </w:tr>
      <w:tr>
        <w:trPr/>
        <w:tc>
          <w:tcPr>
            <w:tcW w:w="1373" w:type="dxa"/>
            <w:tcBorders/>
            <w:tcMar>
              <w:bottom w:w="0" w:type="dxa"/>
            </w:tcMar>
            <w:vAlign w:val="center"/>
          </w:tcPr>
          <w:p>
            <w:pPr>
              <w:pStyle w:val="TableContents"/>
              <w:bidi w:val="0"/>
              <w:spacing w:before="0" w:after="283"/>
              <w:jc w:val="left"/>
              <w:rPr/>
            </w:pPr>
            <w:r>
              <w:rPr/>
              <w:t>2026</w:t>
            </w:r>
          </w:p>
        </w:tc>
        <w:tc>
          <w:tcPr>
            <w:tcW w:w="118" w:type="dxa"/>
            <w:tcBorders/>
            <w:tcMar>
              <w:bottom w:w="0" w:type="dxa"/>
            </w:tcMar>
            <w:vAlign w:val="center"/>
          </w:tcPr>
          <w:p>
            <w:pPr>
              <w:pStyle w:val="TableContents"/>
              <w:bidi w:val="0"/>
              <w:spacing w:before="0" w:after="283"/>
              <w:jc w:val="left"/>
              <w:rPr/>
            </w:pPr>
            <w:r>
              <w:rPr/>
              <w:t> </w:t>
            </w:r>
          </w:p>
        </w:tc>
        <w:tc>
          <w:tcPr>
            <w:tcW w:w="224" w:type="dxa"/>
            <w:tcBorders/>
            <w:tcMar>
              <w:bottom w:w="0" w:type="dxa"/>
            </w:tcMar>
            <w:vAlign w:val="center"/>
          </w:tcPr>
          <w:p>
            <w:pPr>
              <w:pStyle w:val="TableContents"/>
              <w:bidi w:val="0"/>
              <w:spacing w:before="0" w:after="283"/>
              <w:jc w:val="left"/>
              <w:rPr/>
            </w:pPr>
            <w:r>
              <w:rPr/>
              <w:t> </w:t>
            </w:r>
          </w:p>
        </w:tc>
        <w:tc>
          <w:tcPr>
            <w:tcW w:w="779" w:type="dxa"/>
            <w:tcBorders/>
            <w:tcMar>
              <w:bottom w:w="0" w:type="dxa"/>
            </w:tcMar>
            <w:vAlign w:val="center"/>
          </w:tcPr>
          <w:p>
            <w:pPr>
              <w:pStyle w:val="TableContents"/>
              <w:bidi w:val="0"/>
              <w:spacing w:before="0" w:after="283"/>
              <w:jc w:val="right"/>
              <w:rPr/>
            </w:pPr>
            <w:r>
              <w:rPr/>
              <w:t>384</w:t>
            </w:r>
          </w:p>
        </w:tc>
        <w:tc>
          <w:tcPr>
            <w:tcW w:w="178" w:type="dxa"/>
            <w:tcBorders/>
            <w:tcMar>
              <w:bottom w:w="0" w:type="dxa"/>
            </w:tcMar>
            <w:vAlign w:val="center"/>
          </w:tcPr>
          <w:p>
            <w:pPr>
              <w:pStyle w:val="TableContents"/>
              <w:bidi w:val="0"/>
              <w:spacing w:before="0" w:after="283"/>
              <w:jc w:val="left"/>
              <w:rPr/>
            </w:pPr>
            <w:r>
              <w:rPr/>
              <w:t> </w:t>
            </w:r>
          </w:p>
        </w:tc>
      </w:tr>
      <w:tr>
        <w:trPr/>
        <w:tc>
          <w:tcPr>
            <w:tcW w:w="1373" w:type="dxa"/>
            <w:tcBorders/>
            <w:shd w:fill="CCEEFF" w:val="clear"/>
            <w:tcMar>
              <w:bottom w:w="0" w:type="dxa"/>
            </w:tcMar>
            <w:vAlign w:val="center"/>
          </w:tcPr>
          <w:p>
            <w:pPr>
              <w:pStyle w:val="TableContents"/>
              <w:bidi w:val="0"/>
              <w:spacing w:before="0" w:after="283"/>
              <w:jc w:val="left"/>
              <w:rPr/>
            </w:pPr>
            <w:r>
              <w:rPr/>
              <w:t>2027</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79" w:type="dxa"/>
            <w:tcBorders/>
            <w:shd w:fill="CCEEFF" w:val="clear"/>
            <w:tcMar>
              <w:bottom w:w="0" w:type="dxa"/>
            </w:tcMar>
            <w:vAlign w:val="center"/>
          </w:tcPr>
          <w:p>
            <w:pPr>
              <w:pStyle w:val="TableContents"/>
              <w:bidi w:val="0"/>
              <w:spacing w:before="0" w:after="283"/>
              <w:jc w:val="right"/>
              <w:rPr/>
            </w:pPr>
            <w:r>
              <w:rPr/>
              <w:t>384</w:t>
            </w:r>
          </w:p>
        </w:tc>
        <w:tc>
          <w:tcPr>
            <w:tcW w:w="178" w:type="dxa"/>
            <w:tcBorders/>
            <w:shd w:fill="CCEEFF" w:val="clear"/>
            <w:tcMar>
              <w:bottom w:w="0" w:type="dxa"/>
            </w:tcMar>
            <w:vAlign w:val="center"/>
          </w:tcPr>
          <w:p>
            <w:pPr>
              <w:pStyle w:val="TableContents"/>
              <w:bidi w:val="0"/>
              <w:spacing w:before="0" w:after="283"/>
              <w:jc w:val="left"/>
              <w:rPr/>
            </w:pPr>
            <w:r>
              <w:rPr/>
              <w:t> </w:t>
            </w:r>
          </w:p>
        </w:tc>
      </w:tr>
      <w:tr>
        <w:trPr/>
        <w:tc>
          <w:tcPr>
            <w:tcW w:w="1373" w:type="dxa"/>
            <w:tcBorders/>
            <w:tcMar>
              <w:bottom w:w="0" w:type="dxa"/>
            </w:tcMar>
            <w:vAlign w:val="center"/>
          </w:tcPr>
          <w:p>
            <w:pPr>
              <w:pStyle w:val="TableContents"/>
              <w:bidi w:val="0"/>
              <w:spacing w:before="0" w:after="283"/>
              <w:jc w:val="left"/>
              <w:rPr/>
            </w:pPr>
            <w:r>
              <w:rPr/>
              <w:t>2028</w:t>
            </w:r>
          </w:p>
        </w:tc>
        <w:tc>
          <w:tcPr>
            <w:tcW w:w="118" w:type="dxa"/>
            <w:tcBorders/>
            <w:tcMar>
              <w:bottom w:w="0" w:type="dxa"/>
            </w:tcMar>
            <w:vAlign w:val="center"/>
          </w:tcPr>
          <w:p>
            <w:pPr>
              <w:pStyle w:val="TableContents"/>
              <w:bidi w:val="0"/>
              <w:spacing w:before="0" w:after="283"/>
              <w:jc w:val="left"/>
              <w:rPr/>
            </w:pPr>
            <w:r>
              <w:rPr/>
              <w:t> </w:t>
            </w:r>
          </w:p>
        </w:tc>
        <w:tc>
          <w:tcPr>
            <w:tcW w:w="224" w:type="dxa"/>
            <w:tcBorders/>
            <w:tcMar>
              <w:bottom w:w="0" w:type="dxa"/>
            </w:tcMar>
            <w:vAlign w:val="center"/>
          </w:tcPr>
          <w:p>
            <w:pPr>
              <w:pStyle w:val="TableContents"/>
              <w:bidi w:val="0"/>
              <w:spacing w:before="0" w:after="283"/>
              <w:jc w:val="left"/>
              <w:rPr/>
            </w:pPr>
            <w:r>
              <w:rPr/>
              <w:t> </w:t>
            </w:r>
          </w:p>
        </w:tc>
        <w:tc>
          <w:tcPr>
            <w:tcW w:w="779" w:type="dxa"/>
            <w:tcBorders/>
            <w:tcMar>
              <w:bottom w:w="0" w:type="dxa"/>
            </w:tcMar>
            <w:vAlign w:val="center"/>
          </w:tcPr>
          <w:p>
            <w:pPr>
              <w:pStyle w:val="TableContents"/>
              <w:bidi w:val="0"/>
              <w:spacing w:before="0" w:after="283"/>
              <w:jc w:val="right"/>
              <w:rPr/>
            </w:pPr>
            <w:r>
              <w:rPr/>
              <w:t>385</w:t>
            </w:r>
          </w:p>
        </w:tc>
        <w:tc>
          <w:tcPr>
            <w:tcW w:w="178" w:type="dxa"/>
            <w:tcBorders/>
            <w:tcMar>
              <w:bottom w:w="0" w:type="dxa"/>
            </w:tcMar>
            <w:vAlign w:val="center"/>
          </w:tcPr>
          <w:p>
            <w:pPr>
              <w:pStyle w:val="TableContents"/>
              <w:bidi w:val="0"/>
              <w:spacing w:before="0" w:after="283"/>
              <w:jc w:val="left"/>
              <w:rPr/>
            </w:pPr>
            <w:r>
              <w:rPr/>
              <w:t> </w:t>
            </w:r>
          </w:p>
        </w:tc>
      </w:tr>
      <w:tr>
        <w:trPr/>
        <w:tc>
          <w:tcPr>
            <w:tcW w:w="1373" w:type="dxa"/>
            <w:tcBorders/>
            <w:shd w:fill="CCEEFF" w:val="clear"/>
            <w:tcMar>
              <w:bottom w:w="0" w:type="dxa"/>
            </w:tcMar>
            <w:vAlign w:val="center"/>
          </w:tcPr>
          <w:p>
            <w:pPr>
              <w:pStyle w:val="TableContents"/>
              <w:bidi w:val="0"/>
              <w:spacing w:before="0" w:after="283"/>
              <w:jc w:val="left"/>
              <w:rPr/>
            </w:pPr>
            <w:r>
              <w:rPr/>
              <w:t>2029</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79" w:type="dxa"/>
            <w:tcBorders/>
            <w:shd w:fill="CCEEFF" w:val="clear"/>
            <w:tcMar>
              <w:bottom w:w="0" w:type="dxa"/>
            </w:tcMar>
            <w:vAlign w:val="center"/>
          </w:tcPr>
          <w:p>
            <w:pPr>
              <w:pStyle w:val="TableContents"/>
              <w:bidi w:val="0"/>
              <w:spacing w:before="0" w:after="283"/>
              <w:jc w:val="right"/>
              <w:rPr/>
            </w:pPr>
            <w:r>
              <w:rPr/>
              <w:t>384</w:t>
            </w:r>
          </w:p>
        </w:tc>
        <w:tc>
          <w:tcPr>
            <w:tcW w:w="178" w:type="dxa"/>
            <w:tcBorders/>
            <w:shd w:fill="CCEEFF" w:val="clear"/>
            <w:tcMar>
              <w:bottom w:w="0" w:type="dxa"/>
            </w:tcMar>
            <w:vAlign w:val="center"/>
          </w:tcPr>
          <w:p>
            <w:pPr>
              <w:pStyle w:val="TableContents"/>
              <w:bidi w:val="0"/>
              <w:spacing w:before="0" w:after="283"/>
              <w:jc w:val="left"/>
              <w:rPr/>
            </w:pPr>
            <w:r>
              <w:rPr/>
              <w:t> </w:t>
            </w:r>
          </w:p>
        </w:tc>
      </w:tr>
      <w:tr>
        <w:trPr/>
        <w:tc>
          <w:tcPr>
            <w:tcW w:w="1373" w:type="dxa"/>
            <w:tcBorders/>
            <w:tcMar>
              <w:bottom w:w="0" w:type="dxa"/>
            </w:tcMar>
            <w:vAlign w:val="center"/>
          </w:tcPr>
          <w:p>
            <w:pPr>
              <w:pStyle w:val="TableContents"/>
              <w:bidi w:val="0"/>
              <w:spacing w:before="0" w:after="283"/>
              <w:jc w:val="left"/>
              <w:rPr/>
            </w:pPr>
            <w:r>
              <w:rPr/>
              <w:t>Thereafter</w:t>
            </w:r>
          </w:p>
        </w:tc>
        <w:tc>
          <w:tcPr>
            <w:tcW w:w="118" w:type="dxa"/>
            <w:tcBorders>
              <w:bottom w:val="single" w:sz="12" w:space="0" w:color="000000"/>
            </w:tcBorders>
            <w:vAlign w:val="center"/>
          </w:tcPr>
          <w:p>
            <w:pPr>
              <w:pStyle w:val="TableContents"/>
              <w:bidi w:val="0"/>
              <w:spacing w:before="0" w:after="283"/>
              <w:jc w:val="left"/>
              <w:rPr/>
            </w:pPr>
            <w:r>
              <w:rPr/>
              <w:t> </w:t>
            </w:r>
          </w:p>
        </w:tc>
        <w:tc>
          <w:tcPr>
            <w:tcW w:w="224" w:type="dxa"/>
            <w:tcBorders>
              <w:bottom w:val="single" w:sz="12" w:space="0" w:color="000000"/>
            </w:tcBorders>
            <w:vAlign w:val="center"/>
          </w:tcPr>
          <w:p>
            <w:pPr>
              <w:pStyle w:val="TableContents"/>
              <w:bidi w:val="0"/>
              <w:spacing w:before="0" w:after="283"/>
              <w:jc w:val="left"/>
              <w:rPr/>
            </w:pPr>
            <w:r>
              <w:rPr/>
              <w:t> </w:t>
            </w:r>
          </w:p>
        </w:tc>
        <w:tc>
          <w:tcPr>
            <w:tcW w:w="779" w:type="dxa"/>
            <w:tcBorders>
              <w:bottom w:val="single" w:sz="12" w:space="0" w:color="000000"/>
            </w:tcBorders>
            <w:vAlign w:val="center"/>
          </w:tcPr>
          <w:p>
            <w:pPr>
              <w:pStyle w:val="TableContents"/>
              <w:bidi w:val="0"/>
              <w:spacing w:before="0" w:after="283"/>
              <w:jc w:val="right"/>
              <w:rPr/>
            </w:pPr>
            <w:r>
              <w:rPr/>
              <w:t>1,791</w:t>
            </w:r>
          </w:p>
        </w:tc>
        <w:tc>
          <w:tcPr>
            <w:tcW w:w="178" w:type="dxa"/>
            <w:tcBorders/>
            <w:tcMar>
              <w:bottom w:w="0" w:type="dxa"/>
            </w:tcMar>
            <w:vAlign w:val="center"/>
          </w:tcPr>
          <w:p>
            <w:pPr>
              <w:pStyle w:val="TableContents"/>
              <w:bidi w:val="0"/>
              <w:spacing w:before="0" w:after="283"/>
              <w:jc w:val="left"/>
              <w:rPr/>
            </w:pPr>
            <w:r>
              <w:rPr/>
              <w:t> </w:t>
            </w:r>
          </w:p>
        </w:tc>
      </w:tr>
      <w:tr>
        <w:trPr/>
        <w:tc>
          <w:tcPr>
            <w:tcW w:w="1373" w:type="dxa"/>
            <w:tcBorders/>
            <w:shd w:fill="CCEEFF" w:val="clear"/>
            <w:tcMar>
              <w:bottom w:w="0" w:type="dxa"/>
            </w:tcMar>
            <w:vAlign w:val="center"/>
          </w:tcPr>
          <w:p>
            <w:pPr>
              <w:pStyle w:val="TableContents"/>
              <w:bidi w:val="0"/>
              <w:spacing w:before="0" w:after="283"/>
              <w:jc w:val="left"/>
              <w:rPr/>
            </w:pPr>
            <w:r>
              <w:rPr/>
              <w:t>Total</w:t>
            </w:r>
          </w:p>
        </w:tc>
        <w:tc>
          <w:tcPr>
            <w:tcW w:w="118" w:type="dxa"/>
            <w:tcBorders>
              <w:bottom w:val="double" w:sz="10" w:space="0" w:color="000000"/>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vAlign w:val="center"/>
          </w:tcPr>
          <w:p>
            <w:pPr>
              <w:pStyle w:val="TableContents"/>
              <w:bidi w:val="0"/>
              <w:spacing w:before="0" w:after="283"/>
              <w:jc w:val="left"/>
              <w:rPr/>
            </w:pPr>
            <w:r>
              <w:rPr/>
              <w:t>$</w:t>
            </w:r>
          </w:p>
        </w:tc>
        <w:tc>
          <w:tcPr>
            <w:tcW w:w="779" w:type="dxa"/>
            <w:tcBorders>
              <w:bottom w:val="double" w:sz="10" w:space="0" w:color="000000"/>
            </w:tcBorders>
            <w:shd w:fill="CCEEFF" w:val="clear"/>
            <w:vAlign w:val="center"/>
          </w:tcPr>
          <w:p>
            <w:pPr>
              <w:pStyle w:val="TableContents"/>
              <w:bidi w:val="0"/>
              <w:spacing w:before="0" w:after="283"/>
              <w:jc w:val="right"/>
              <w:rPr/>
            </w:pPr>
            <w:r>
              <w:rPr/>
              <w:t>3,425</w:t>
            </w:r>
          </w:p>
        </w:tc>
        <w:tc>
          <w:tcPr>
            <w:tcW w:w="1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expenses and other current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698" w:type="dxa"/>
        <w:jc w:val="left"/>
        <w:tblInd w:w="0" w:type="dxa"/>
        <w:tblLayout w:type="fixed"/>
        <w:tblCellMar>
          <w:top w:w="0" w:type="dxa"/>
          <w:left w:w="0" w:type="dxa"/>
          <w:bottom w:w="0" w:type="dxa"/>
          <w:right w:w="0" w:type="dxa"/>
        </w:tblCellMar>
      </w:tblPr>
      <w:tblGrid>
        <w:gridCol w:w="4415"/>
        <w:gridCol w:w="90"/>
        <w:gridCol w:w="435"/>
        <w:gridCol w:w="1519"/>
        <w:gridCol w:w="90"/>
        <w:gridCol w:w="90"/>
        <w:gridCol w:w="430"/>
        <w:gridCol w:w="1494"/>
        <w:gridCol w:w="135"/>
      </w:tblGrid>
      <w:tr>
        <w:trPr/>
        <w:tc>
          <w:tcPr>
            <w:tcW w:w="4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pPr>
            <w:r>
              <w:rPr/>
              <w:t>September 30,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4" w:type="dxa"/>
            <w:gridSpan w:val="2"/>
            <w:tcBorders>
              <w:bottom w:val="single" w:sz="12" w:space="0" w:color="000000"/>
            </w:tcBorders>
            <w:tcMar>
              <w:bottom w:w="28" w:type="dxa"/>
            </w:tcMar>
            <w:vAlign w:val="center"/>
          </w:tcPr>
          <w:p>
            <w:pPr>
              <w:pStyle w:val="TableContents"/>
              <w:bidi w:val="0"/>
              <w:spacing w:before="0" w:after="283"/>
              <w:jc w:val="center"/>
              <w:rPr/>
            </w:pPr>
            <w:r>
              <w:rPr/>
              <w:t>December 31, 2024</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r>
              <w:rPr/>
              <w:t>Payroll and related costs</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w:t>
            </w:r>
          </w:p>
        </w:tc>
        <w:tc>
          <w:tcPr>
            <w:tcW w:w="1519" w:type="dxa"/>
            <w:tcBorders/>
            <w:shd w:fill="CCEEFF" w:val="clear"/>
            <w:vAlign w:val="center"/>
          </w:tcPr>
          <w:p>
            <w:pPr>
              <w:pStyle w:val="TableContents"/>
              <w:bidi w:val="0"/>
              <w:spacing w:before="0" w:after="283"/>
              <w:jc w:val="right"/>
              <w:rPr/>
            </w:pPr>
            <w:r>
              <w:rPr/>
              <w:t>256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1494" w:type="dxa"/>
            <w:tcBorders/>
            <w:shd w:fill="CCEEFF" w:val="clear"/>
            <w:vAlign w:val="center"/>
          </w:tcPr>
          <w:p>
            <w:pPr>
              <w:pStyle w:val="TableContents"/>
              <w:bidi w:val="0"/>
              <w:spacing w:before="0" w:after="283"/>
              <w:jc w:val="right"/>
              <w:rPr/>
            </w:pPr>
            <w:r>
              <w:rPr/>
              <w:t>118</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r>
              <w:rPr/>
              <w:t>Professional fees</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519" w:type="dxa"/>
            <w:tcBorders/>
            <w:vAlign w:val="center"/>
          </w:tcPr>
          <w:p>
            <w:pPr>
              <w:pStyle w:val="TableContents"/>
              <w:bidi w:val="0"/>
              <w:spacing w:before="0" w:after="283"/>
              <w:jc w:val="right"/>
              <w:rPr/>
            </w:pPr>
            <w:r>
              <w:rPr/>
              <w:t>386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1494" w:type="dxa"/>
            <w:tcBorders/>
            <w:vAlign w:val="center"/>
          </w:tcPr>
          <w:p>
            <w:pPr>
              <w:pStyle w:val="TableContents"/>
              <w:bidi w:val="0"/>
              <w:spacing w:before="0" w:after="283"/>
              <w:jc w:val="right"/>
              <w:rPr/>
            </w:pPr>
            <w:r>
              <w:rPr/>
              <w:t>288</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1,072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1494" w:type="dxa"/>
            <w:tcBorders/>
            <w:shd w:fill="CCEEFF" w:val="clear"/>
            <w:vAlign w:val="center"/>
          </w:tcPr>
          <w:p>
            <w:pPr>
              <w:pStyle w:val="TableContents"/>
              <w:bidi w:val="0"/>
              <w:spacing w:before="0" w:after="283"/>
              <w:jc w:val="right"/>
              <w:rPr/>
            </w:pPr>
            <w:r>
              <w:rPr/>
              <w:t>1,633</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r>
              <w:rPr/>
              <w:t>Other accrued expenses and current liabilities</w:t>
            </w:r>
          </w:p>
        </w:tc>
        <w:tc>
          <w:tcPr>
            <w:tcW w:w="90" w:type="dxa"/>
            <w:tcBorders/>
            <w:vAlign w:val="center"/>
          </w:tcPr>
          <w:p>
            <w:pPr>
              <w:pStyle w:val="TableContents"/>
              <w:bidi w:val="0"/>
              <w:spacing w:before="0" w:after="283"/>
              <w:jc w:val="left"/>
              <w:rPr/>
            </w:pPr>
            <w:r>
              <w:rPr/>
              <w:t> </w:t>
            </w:r>
          </w:p>
        </w:tc>
        <w:tc>
          <w:tcPr>
            <w:tcW w:w="435" w:type="dxa"/>
            <w:tcBorders>
              <w:bottom w:val="single" w:sz="12" w:space="0" w:color="000000"/>
            </w:tcBorders>
            <w:tcMar>
              <w:bottom w:w="28" w:type="dxa"/>
            </w:tcMar>
            <w:vAlign w:val="center"/>
          </w:tcPr>
          <w:p>
            <w:pPr>
              <w:pStyle w:val="TableContents"/>
              <w:bidi w:val="0"/>
              <w:spacing w:before="0" w:after="283"/>
              <w:jc w:val="left"/>
              <w:rPr/>
            </w:pPr>
            <w:r>
              <w:rPr/>
              <w:t> </w:t>
            </w:r>
          </w:p>
        </w:tc>
        <w:tc>
          <w:tcPr>
            <w:tcW w:w="1519" w:type="dxa"/>
            <w:tcBorders>
              <w:bottom w:val="single" w:sz="12" w:space="0" w:color="000000"/>
            </w:tcBorders>
            <w:tcMar>
              <w:bottom w:w="28" w:type="dxa"/>
            </w:tcMar>
            <w:vAlign w:val="center"/>
          </w:tcPr>
          <w:p>
            <w:pPr>
              <w:pStyle w:val="TableContents"/>
              <w:bidi w:val="0"/>
              <w:spacing w:before="0" w:after="283"/>
              <w:jc w:val="right"/>
              <w:rPr/>
            </w:pPr>
            <w:r>
              <w:rPr/>
              <w:t>301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94" w:type="dxa"/>
            <w:tcBorders>
              <w:bottom w:val="single" w:sz="12" w:space="0" w:color="000000"/>
            </w:tcBorders>
            <w:tcMar>
              <w:bottom w:w="28" w:type="dxa"/>
            </w:tcMar>
            <w:vAlign w:val="center"/>
          </w:tcPr>
          <w:p>
            <w:pPr>
              <w:pStyle w:val="TableContents"/>
              <w:bidi w:val="0"/>
              <w:spacing w:before="0" w:after="283"/>
              <w:jc w:val="right"/>
              <w:rPr/>
            </w:pPr>
            <w:r>
              <w:rPr/>
              <w:t>88</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4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19" w:type="dxa"/>
            <w:tcBorders>
              <w:bottom w:val="double" w:sz="10" w:space="0" w:color="000000"/>
            </w:tcBorders>
            <w:shd w:fill="CCEEFF" w:val="clear"/>
            <w:tcMar>
              <w:bottom w:w="28" w:type="dxa"/>
            </w:tcMar>
            <w:vAlign w:val="center"/>
          </w:tcPr>
          <w:p>
            <w:pPr>
              <w:pStyle w:val="TableContents"/>
              <w:bidi w:val="0"/>
              <w:spacing w:before="0" w:after="283"/>
              <w:jc w:val="right"/>
              <w:rPr/>
            </w:pPr>
            <w:r>
              <w:rPr/>
              <w:t>2,015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94" w:type="dxa"/>
            <w:tcBorders>
              <w:bottom w:val="double" w:sz="10" w:space="0" w:color="000000"/>
            </w:tcBorders>
            <w:shd w:fill="CCEEFF" w:val="clear"/>
            <w:tcMar>
              <w:bottom w:w="28" w:type="dxa"/>
            </w:tcMar>
            <w:vAlign w:val="center"/>
          </w:tcPr>
          <w:p>
            <w:pPr>
              <w:pStyle w:val="TableContents"/>
              <w:bidi w:val="0"/>
              <w:spacing w:before="0" w:after="283"/>
              <w:jc w:val="right"/>
              <w:rPr/>
            </w:pPr>
            <w:r>
              <w:rPr/>
              <w:t>2,127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Mayne Pharma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paid us approximately $12.1 million at closing on December 30, 2022, for the acquisition of net working capital, subject to certain adjustments as determined in accordance with the Transaction Agreement. While the Transaction Agreement calls for much of the net working capital to be trued-up shortly after the Closing Date in 2023, for a period of one year following the Closing Date in the case of payer rebates and wholesale distributor fees and two years following the Closing Date in the case for allowance for returns, net working capital amounts will be adjusted to arrive at final net working capital under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increased certain accrual estimates including increasing our working capital adjustment accrual by $2.0 million for amounts anticipated to be owed under the Transaction Agreement. In December 2023, we made a $5.5 million payment to Mayne Pharma to settle certain working capital amounts that were required to be trued-up shortly after the Closing Date, excluding the allowance for returns, allowance for payer rebates, and allowance for wholesale distributor fees. Of the $5.5 million, $2.0 million increased the allowance for net working capital allowances remaining to be trued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of the allowance for payer rebates and wholesale distributor fees was determined in accordance with the Transaction Agreement which establishes the process for the determination of net working capital. 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a lawsuit against the us in the United States District Court for the District of Delaware (the “Mayne Countersuit” and, together with the Mayne Lawsuit, the “Mayne Lawsuits”) seeking damages for breach of contract and fraudulent inducement related to the Transaction Agreement. On July 28, 2025, we filed a motion to dismiss the Mayne Countersuit. As of September 30,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has also made certain indemnification demands under the Transaction Agreement, which we dispute. As of September 30, 2025, we believed no additional accrual was required for such claims, as we could not reasonably estimate a range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Abbreviated New Drug Application (“ANDA”) submitted to the FDA by Teva Pharmaceuticals USA, Inc. (“Teva”). The ANDA seeks approval from the FDA to commercially manufacture, use, or sell a generic version of the 4 mcg and 10 mcg doses of IMVEXXY. In the IMVEXXY Notice Letter, Teva alleges that TherapeuticsMD patents listed in the FDA’s Orange Book that claim compositions and methods of IMVEXXY (the “IMVEXXY Patents”)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July 2021, following a proposal by Teva, the District Court entered an order temporarily staying all proceedings in the IMVEXXY litigation, which order was filed under seal. In September 2021, the District Court made available a public version of the order following the parties’ agreement to a consent motion to redact information Teva contended was confidential. The order provides that the statutory stay that prevents the FDA from granting final approval of the ANDA for 30 months from the date of the IMVEXXY Notice Letter will be extended for the number of days that the stay of the IMVEXXY litigation is in place. In November 2024, the court lifted the stay. We have incurred and recorded legal costs amounting to $2,334 thousand in prepaid expenses and other current assets as of September 30, 2025, for the IMVEXXY Paragraph IV legal proceeding since we believe that we will successfully prevail in this legal proceeding. Upon the successful conclusion of the legal proceeding, the related capitalized legal costs will be reclassified to patents, in license rights and other intangible assets, net, in the accompanying condensed consolidated balance sheets, and such costs will be amortized over the remaining useful life of the patents. If Mayne Pharma is unsuccessful in this legal proceeding, then the related capitalized legal costs for this legal preceding and any unamortized IMVEXXY patent costs that were previously capitalized will be immediately expensed in the period in which we become aware of an unsuccessful legal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Mayne Pharma received a Paragraph IV certification notice letter (the “Sun Notice Letter”) regarding an ANDA submitted to the FDA by Sun Pharma Inc. (“Sun Pharma”). The ANDA seeks approval from the FDA to commercially manufacture, use, or sell a generic version of the 4 mcg and 10 mcg doses of IMVEXXY. In the Sun Notice Letter, Sun Pharma alleges that the IMVEXXY Patents are invalid, unenforceable, and/or will not be infringed by Sun Pharma’s commercial manufacture, use, or sale of its proposed generic drug product. The IMVEXXY Patents identified in the Sun Notice Letter expire in 2032 or 2033. In July 2024, we and Mayne Pharma filed a complaint for patent infringement against Sun Pharma in the United States District Court for the District of New Jersey arising from Sun Pharma’s ANDA filing with the FDA. We are seeking, among other relief, an order that the effective date of any FDA approval of Sun Pharma’s ANDA would be a date no earlier than the expiration of the IMVEXXY Patents and equitable relief enjoining Sun Pharma from infringing the IMVEXXY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December 30, 2022 and per the Mayne License Agreement, Mayne Pharma is responsible for all enforcement of our patents, including the responsibility for and costs of litigation discussed above with respect to Teva and Sun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a lawsuit against Mayne Pharma in the United States District Court for the District of Delaware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We are seeking, among other relief, money damages for all of Mayne Pharma’s profits arising from their unlawful conduct and for any injury sustained by us as a result of Mayne Pharma’s unlawful conduct. On June 20, 2025, we filed an amended complaint against Mayne Pharma and on July 22, 2025, Mayne Pharma filed a motion to dismiss the Mayne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a lawsuit against us in the United States District Court for the District of Delaware seeking damages for breach of contract and fraudulent inducement related to the Transaction Agreement. On July 28, 2025, we filed a motion to dismiss the Mayne Countersuit. As of September 30,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other litigations and proceedings in the ordinary course of business. We are currently not involved in any other litigations and proceedings that we believe would have a material effect on our condensed consolidated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Off-balance sheet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there were no off-balance sheet arrangements that have had or are reasonably likely to have current or future effects on our financial condition, changes in financial condition, revenues or expenses, results of operations, liquidity, capital expenditures or capital resources that we consider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transformation into a pharmaceutical royalty company, the termination of our executive management team (except for Mr. Marlan Walker, our former General Counsel and current Chief Executive Officer) and all other employees was completed by December 30, 2022. Severance obligations for all employees other than executive officers were paid in full in the first quarter of 2023, and severance obligations for executive officers were paid out by the end of the first quarter of 2025. As of September 30, 2025,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following table summarizes the status of our outstanding and exercisable warrants and related transactions since December 31, 2024 (in thousands, except weighted average exercise price and weighted average remaining contractual life data):</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2555"/>
        <w:gridCol w:w="90"/>
        <w:gridCol w:w="214"/>
        <w:gridCol w:w="691"/>
        <w:gridCol w:w="102"/>
        <w:gridCol w:w="102"/>
        <w:gridCol w:w="215"/>
        <w:gridCol w:w="750"/>
        <w:gridCol w:w="102"/>
        <w:gridCol w:w="102"/>
        <w:gridCol w:w="193"/>
        <w:gridCol w:w="963"/>
        <w:gridCol w:w="102"/>
        <w:gridCol w:w="102"/>
        <w:gridCol w:w="234"/>
        <w:gridCol w:w="911"/>
        <w:gridCol w:w="135"/>
      </w:tblGrid>
      <w:tr>
        <w:trPr/>
        <w:tc>
          <w:tcPr>
            <w:tcW w:w="2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83" w:type="dxa"/>
            <w:gridSpan w:val="14"/>
            <w:tcBorders>
              <w:bottom w:val="single" w:sz="12" w:space="0" w:color="000000"/>
            </w:tcBorders>
            <w:tcMar>
              <w:bottom w:w="28" w:type="dxa"/>
            </w:tcMar>
            <w:vAlign w:val="center"/>
          </w:tcPr>
          <w:p>
            <w:pPr>
              <w:pStyle w:val="TableContents"/>
              <w:bidi w:val="0"/>
              <w:spacing w:before="0" w:after="283"/>
              <w:jc w:val="center"/>
              <w:rPr/>
            </w:pPr>
            <w:r>
              <w:rPr/>
              <w:t>Warrants outstanding and exercisable</w:t>
            </w:r>
          </w:p>
        </w:tc>
        <w:tc>
          <w:tcPr>
            <w:tcW w:w="13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pPr>
            <w:r>
              <w:rPr/>
              <w:t>Warrants</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56"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Remaining</w:t>
              <w:br/>
              <w:t>Contractual</w:t>
              <w:br/>
              <w:t>Life</w:t>
              <w:br/>
              <w:t>(in Years)</w:t>
            </w:r>
          </w:p>
        </w:tc>
        <w:tc>
          <w:tcPr>
            <w:tcW w:w="13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As of December 31, 2024</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98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pPr>
            <w:r>
              <w:rPr/>
              <w:t>63.33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5.6</w:t>
            </w:r>
          </w:p>
        </w:tc>
        <w:tc>
          <w:tcPr>
            <w:tcW w:w="135" w:type="dxa"/>
            <w:tcBorders/>
            <w:shd w:fill="CCEEFF" w:val="clear"/>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As of September 30, 2025</w:t>
            </w:r>
          </w:p>
        </w:tc>
        <w:tc>
          <w:tcPr>
            <w:tcW w:w="90" w:type="dxa"/>
            <w:tcBorders/>
            <w:vAlign w:val="center"/>
          </w:tcPr>
          <w:p>
            <w:pPr>
              <w:pStyle w:val="TableContents"/>
              <w:bidi w:val="0"/>
              <w:spacing w:before="0" w:after="283"/>
              <w:jc w:val="left"/>
              <w:rPr/>
            </w:pPr>
            <w:r>
              <w:rPr/>
              <w:t> </w:t>
            </w:r>
          </w:p>
        </w:tc>
        <w:tc>
          <w:tcPr>
            <w:tcW w:w="214" w:type="dxa"/>
            <w:tcBorders>
              <w:bottom w:val="double" w:sz="10" w:space="0" w:color="000000"/>
            </w:tcBorders>
            <w:tcMar>
              <w:bottom w:w="28" w:type="dxa"/>
            </w:tcMar>
            <w:vAlign w:val="center"/>
          </w:tcPr>
          <w:p>
            <w:pPr>
              <w:pStyle w:val="TableContents"/>
              <w:bidi w:val="0"/>
              <w:spacing w:before="0" w:after="283"/>
              <w:jc w:val="left"/>
              <w:rPr/>
            </w:pPr>
            <w:r>
              <w:rPr/>
              <w:t> </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98</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15" w:type="dxa"/>
            <w:tcBorders>
              <w:bottom w:val="double" w:sz="10" w:space="0" w:color="000000"/>
            </w:tcBorders>
            <w:tcMar>
              <w:bottom w:w="28" w:type="dxa"/>
            </w:tcMar>
            <w:vAlign w:val="center"/>
          </w:tcPr>
          <w:p>
            <w:pPr>
              <w:pStyle w:val="TableContents"/>
              <w:bidi w:val="0"/>
              <w:spacing w:before="0" w:after="283"/>
              <w:jc w:val="left"/>
              <w:rPr/>
            </w:pPr>
            <w:r>
              <w:rPr/>
              <w:t>$</w:t>
            </w:r>
          </w:p>
        </w:tc>
        <w:tc>
          <w:tcPr>
            <w:tcW w:w="750" w:type="dxa"/>
            <w:tcBorders>
              <w:bottom w:val="double" w:sz="10" w:space="0" w:color="000000"/>
            </w:tcBorders>
            <w:tcMar>
              <w:bottom w:w="28" w:type="dxa"/>
            </w:tcMar>
            <w:vAlign w:val="center"/>
          </w:tcPr>
          <w:p>
            <w:pPr>
              <w:pStyle w:val="TableContents"/>
              <w:bidi w:val="0"/>
              <w:spacing w:before="0" w:after="283"/>
              <w:jc w:val="right"/>
              <w:rPr/>
            </w:pPr>
            <w:r>
              <w:rPr/>
              <w:t>63.33</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tcMar>
              <w:bottom w:w="28" w:type="dxa"/>
            </w:tcMar>
            <w:vAlign w:val="center"/>
          </w:tcPr>
          <w:p>
            <w:pPr>
              <w:pStyle w:val="TableContents"/>
              <w:bidi w:val="0"/>
              <w:spacing w:before="0" w:after="0"/>
              <w:jc w:val="right"/>
              <w:rPr/>
            </w:pPr>
            <w:r>
              <w:rPr/>
              <w:t>-</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34" w:type="dxa"/>
            <w:tcBorders>
              <w:bottom w:val="double" w:sz="10" w:space="0" w:color="000000"/>
            </w:tcBorders>
            <w:tcMar>
              <w:bottom w:w="28" w:type="dxa"/>
            </w:tcMar>
            <w:vAlign w:val="center"/>
          </w:tcPr>
          <w:p>
            <w:pPr>
              <w:pStyle w:val="TableContents"/>
              <w:bidi w:val="0"/>
              <w:spacing w:before="0" w:after="283"/>
              <w:jc w:val="left"/>
              <w:rPr/>
            </w:pPr>
            <w:r>
              <w:rPr/>
              <w:t> </w:t>
            </w:r>
          </w:p>
        </w:tc>
        <w:tc>
          <w:tcPr>
            <w:tcW w:w="911" w:type="dxa"/>
            <w:tcBorders>
              <w:bottom w:val="double" w:sz="10" w:space="0" w:color="000000"/>
            </w:tcBorders>
            <w:tcMar>
              <w:bottom w:w="28" w:type="dxa"/>
            </w:tcMar>
            <w:vAlign w:val="center"/>
          </w:tcPr>
          <w:p>
            <w:pPr>
              <w:pStyle w:val="TableContents"/>
              <w:bidi w:val="0"/>
              <w:spacing w:before="0" w:after="283"/>
              <w:jc w:val="right"/>
              <w:rPr/>
            </w:pPr>
            <w:r>
              <w:rPr/>
              <w:t>4.8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Share-based compensation payment plans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51,030 shares of common stock were subject to outstanding awards under our share-based payment award plans and inducement grants (calculated using the base number of PSUs that may vest). As of September 30, 2025, 416,219 shares of common stock were available for future grants of share-based payment awards under the TherapeuticsMD, Inc. 2019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outstanding and exercisable options and related transactions since December 31, 2024 (in thousands, except weighted average exercise price and weighted average remaining contractual life data):</w:t>
      </w:r>
    </w:p>
    <w:p>
      <w:pPr>
        <w:pStyle w:val="TextBody"/>
        <w:bidi w:val="0"/>
        <w:spacing w:before="0" w:after="0"/>
        <w:ind w:left="0" w:right="0" w:hanging="0"/>
        <w:jc w:val="left"/>
        <w:rPr>
          <w:caps w:val="false"/>
          <w:smallCaps w:val="false"/>
        </w:rPr>
      </w:pPr>
      <w:r>
        <w:rPr>
          <w:caps w:val="false"/>
          <w:smallCaps w:val="false"/>
        </w:rPr>
        <w:t> </w:t>
      </w:r>
    </w:p>
    <w:tbl>
      <w:tblPr>
        <w:tblW w:w="10525" w:type="dxa"/>
        <w:jc w:val="left"/>
        <w:tblInd w:w="0" w:type="dxa"/>
        <w:tblLayout w:type="fixed"/>
        <w:tblCellMar>
          <w:top w:w="0" w:type="dxa"/>
          <w:left w:w="0" w:type="dxa"/>
          <w:bottom w:w="0" w:type="dxa"/>
          <w:right w:w="0" w:type="dxa"/>
        </w:tblCellMar>
      </w:tblPr>
      <w:tblGrid>
        <w:gridCol w:w="1070"/>
        <w:gridCol w:w="90"/>
        <w:gridCol w:w="189"/>
        <w:gridCol w:w="611"/>
        <w:gridCol w:w="125"/>
        <w:gridCol w:w="90"/>
        <w:gridCol w:w="186"/>
        <w:gridCol w:w="779"/>
        <w:gridCol w:w="90"/>
        <w:gridCol w:w="90"/>
        <w:gridCol w:w="188"/>
        <w:gridCol w:w="852"/>
        <w:gridCol w:w="90"/>
        <w:gridCol w:w="90"/>
        <w:gridCol w:w="234"/>
        <w:gridCol w:w="911"/>
        <w:gridCol w:w="90"/>
        <w:gridCol w:w="90"/>
        <w:gridCol w:w="189"/>
        <w:gridCol w:w="611"/>
        <w:gridCol w:w="125"/>
        <w:gridCol w:w="90"/>
        <w:gridCol w:w="186"/>
        <w:gridCol w:w="779"/>
        <w:gridCol w:w="90"/>
        <w:gridCol w:w="90"/>
        <w:gridCol w:w="200"/>
        <w:gridCol w:w="840"/>
        <w:gridCol w:w="90"/>
        <w:gridCol w:w="90"/>
        <w:gridCol w:w="234"/>
        <w:gridCol w:w="911"/>
        <w:gridCol w:w="135"/>
      </w:tblGrid>
      <w:tr>
        <w:trPr/>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25" w:type="dxa"/>
            <w:gridSpan w:val="14"/>
            <w:tcBorders>
              <w:bottom w:val="single" w:sz="12" w:space="0" w:color="000000"/>
            </w:tcBorders>
            <w:tcMar>
              <w:bottom w:w="28" w:type="dxa"/>
            </w:tcMar>
            <w:vAlign w:val="center"/>
          </w:tcPr>
          <w:p>
            <w:pPr>
              <w:pStyle w:val="TableContents"/>
              <w:bidi w:val="0"/>
              <w:spacing w:before="0" w:after="283"/>
              <w:jc w:val="center"/>
              <w:rPr/>
            </w:pPr>
            <w:r>
              <w:rP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25" w:type="dxa"/>
            <w:gridSpan w:val="14"/>
            <w:tcBorders>
              <w:bottom w:val="single" w:sz="12" w:space="0" w:color="000000"/>
            </w:tcBorders>
            <w:tcMar>
              <w:bottom w:w="28" w:type="dxa"/>
            </w:tcMar>
            <w:vAlign w:val="center"/>
          </w:tcPr>
          <w:p>
            <w:pPr>
              <w:pStyle w:val="TableContents"/>
              <w:bidi w:val="0"/>
              <w:spacing w:before="0" w:after="283"/>
              <w:jc w:val="center"/>
              <w:rPr/>
            </w:pPr>
            <w:r>
              <w:rPr/>
              <w:t>Exercisable</w:t>
            </w:r>
          </w:p>
        </w:tc>
        <w:tc>
          <w:tcPr>
            <w:tcW w:w="13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Options</w:t>
              <w:br/>
              <w:t>Awards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pPr>
            <w:r>
              <w:rPr/>
              <w:t>Weighted Average Exercise 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pPr>
            <w:r>
              <w:rPr/>
              <w:t>Weighted Average Remaining Contractual Life (in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Options</w:t>
              <w:br/>
              <w:t>Awards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pPr>
            <w:r>
              <w:rPr/>
              <w:t>Weighted Average Remaining Contractual Life (in Years)</w:t>
            </w:r>
          </w:p>
        </w:tc>
        <w:tc>
          <w:tcPr>
            <w:tcW w:w="13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As of December 31, 2024</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270.33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270.20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840"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2.8</w:t>
            </w:r>
          </w:p>
        </w:tc>
        <w:tc>
          <w:tcPr>
            <w:tcW w:w="13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Expired</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tcMar>
              <w:bottom w:w="28" w:type="dxa"/>
            </w:tcMar>
            <w:vAlign w:val="center"/>
          </w:tcPr>
          <w:p>
            <w:pPr>
              <w:pStyle w:val="TableContents"/>
              <w:bidi w:val="0"/>
              <w:spacing w:before="0" w:after="283"/>
              <w:jc w:val="right"/>
              <w:rPr/>
            </w:pPr>
            <w:r>
              <w:rPr/>
              <w:t>(6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tcMar>
              <w:bottom w:w="28" w:type="dxa"/>
            </w:tcMar>
            <w:vAlign w:val="center"/>
          </w:tcPr>
          <w:p>
            <w:pPr>
              <w:pStyle w:val="TableContents"/>
              <w:bidi w:val="0"/>
              <w:spacing w:before="0" w:after="283"/>
              <w:jc w:val="right"/>
              <w:rPr/>
            </w:pPr>
            <w:r>
              <w:rPr/>
              <w:t>312.36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611" w:type="dxa"/>
            <w:tcBorders>
              <w:bottom w:val="single" w:sz="12" w:space="0" w:color="000000"/>
            </w:tcBorders>
            <w:tcMar>
              <w:bottom w:w="28" w:type="dxa"/>
            </w:tcMar>
            <w:vAlign w:val="center"/>
          </w:tcPr>
          <w:p>
            <w:pPr>
              <w:pStyle w:val="TableContents"/>
              <w:bidi w:val="0"/>
              <w:spacing w:before="0" w:after="283"/>
              <w:jc w:val="right"/>
              <w:rPr/>
            </w:pPr>
            <w:r>
              <w:rPr/>
              <w:t>(6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 w:type="dxa"/>
            <w:tcBorders>
              <w:bottom w:val="single" w:sz="12" w:space="0" w:color="000000"/>
            </w:tcBorders>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As of September 30, 2025</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11" w:type="dxa"/>
            <w:tcBorders>
              <w:bottom w:val="double" w:sz="10" w:space="0" w:color="000000"/>
            </w:tcBorders>
            <w:shd w:fill="CCEEFF" w:val="clear"/>
            <w:tcMar>
              <w:bottom w:w="28" w:type="dxa"/>
            </w:tcMar>
            <w:vAlign w:val="center"/>
          </w:tcPr>
          <w:p>
            <w:pPr>
              <w:pStyle w:val="TableContents"/>
              <w:bidi w:val="0"/>
              <w:spacing w:before="0" w:after="283"/>
              <w:jc w:val="right"/>
              <w:rPr/>
            </w:pPr>
            <w:r>
              <w:rPr/>
              <w:t>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10" w:space="0" w:color="000000"/>
            </w:tcBorders>
            <w:shd w:fill="CCEEFF" w:val="clear"/>
            <w:tcMar>
              <w:bottom w:w="28" w:type="dxa"/>
            </w:tcMar>
            <w:vAlign w:val="center"/>
          </w:tcPr>
          <w:p>
            <w:pPr>
              <w:pStyle w:val="TableContents"/>
              <w:bidi w:val="0"/>
              <w:spacing w:before="0" w:after="283"/>
              <w:jc w:val="right"/>
              <w:rPr/>
            </w:pPr>
            <w:r>
              <w:rPr/>
              <w:t>265.80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11" w:type="dxa"/>
            <w:tcBorders>
              <w:bottom w:val="double" w:sz="10" w:space="0" w:color="000000"/>
            </w:tcBorders>
            <w:shd w:fill="CCEEFF" w:val="clear"/>
            <w:tcMar>
              <w:bottom w:w="28" w:type="dxa"/>
            </w:tcMar>
            <w:vAlign w:val="center"/>
          </w:tcPr>
          <w:p>
            <w:pPr>
              <w:pStyle w:val="TableContents"/>
              <w:bidi w:val="0"/>
              <w:spacing w:before="0" w:after="283"/>
              <w:jc w:val="right"/>
              <w:rPr/>
            </w:pPr>
            <w:r>
              <w:rPr/>
              <w:t>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10" w:space="0" w:color="000000"/>
            </w:tcBorders>
            <w:shd w:fill="CCEEFF" w:val="clear"/>
            <w:tcMar>
              <w:bottom w:w="28" w:type="dxa"/>
            </w:tcMar>
            <w:vAlign w:val="center"/>
          </w:tcPr>
          <w:p>
            <w:pPr>
              <w:pStyle w:val="TableContents"/>
              <w:bidi w:val="0"/>
              <w:spacing w:before="0" w:after="283"/>
              <w:jc w:val="right"/>
              <w:rPr/>
            </w:pPr>
            <w:r>
              <w:rPr/>
              <w:t>265.66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2.3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RSUs and related transactions since December 31, 2024 (in thousands, except weighted average grant date fair value):</w:t>
      </w:r>
    </w:p>
    <w:p>
      <w:pPr>
        <w:pStyle w:val="TextBody"/>
        <w:bidi w:val="0"/>
        <w:spacing w:before="0" w:after="0"/>
        <w:ind w:left="0" w:right="0" w:hanging="0"/>
        <w:jc w:val="left"/>
        <w:rPr>
          <w:caps w:val="false"/>
          <w:smallCaps w:val="false"/>
        </w:rPr>
      </w:pPr>
      <w:r>
        <w:rPr>
          <w:caps w:val="false"/>
          <w:smallCaps w:val="false"/>
        </w:rPr>
        <w:t> </w:t>
      </w:r>
    </w:p>
    <w:tbl>
      <w:tblPr>
        <w:tblW w:w="6802" w:type="dxa"/>
        <w:jc w:val="left"/>
        <w:tblInd w:w="0" w:type="dxa"/>
        <w:tblLayout w:type="fixed"/>
        <w:tblCellMar>
          <w:top w:w="0" w:type="dxa"/>
          <w:left w:w="0" w:type="dxa"/>
          <w:bottom w:w="0" w:type="dxa"/>
          <w:right w:w="0" w:type="dxa"/>
        </w:tblCellMar>
      </w:tblPr>
      <w:tblGrid>
        <w:gridCol w:w="3365"/>
        <w:gridCol w:w="90"/>
        <w:gridCol w:w="146"/>
        <w:gridCol w:w="474"/>
        <w:gridCol w:w="144"/>
        <w:gridCol w:w="103"/>
        <w:gridCol w:w="245"/>
        <w:gridCol w:w="854"/>
        <w:gridCol w:w="103"/>
        <w:gridCol w:w="103"/>
        <w:gridCol w:w="276"/>
        <w:gridCol w:w="764"/>
        <w:gridCol w:w="135"/>
      </w:tblGrid>
      <w:tr>
        <w:trPr/>
        <w:tc>
          <w:tcPr>
            <w:tcW w:w="33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2" w:type="dxa"/>
            <w:gridSpan w:val="10"/>
            <w:tcBorders>
              <w:bottom w:val="single" w:sz="12" w:space="0" w:color="000000"/>
            </w:tcBorders>
            <w:tcMar>
              <w:bottom w:w="28" w:type="dxa"/>
            </w:tcMar>
            <w:vAlign w:val="center"/>
          </w:tcPr>
          <w:p>
            <w:pPr>
              <w:pStyle w:val="TableContents"/>
              <w:bidi w:val="0"/>
              <w:spacing w:before="0" w:after="283"/>
              <w:jc w:val="center"/>
              <w:rPr/>
            </w:pPr>
            <w:r>
              <w:rPr/>
              <w:t>RSUs awards outstanding</w:t>
            </w:r>
          </w:p>
        </w:tc>
        <w:tc>
          <w:tcPr>
            <w:tcW w:w="13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pPr>
            <w:r>
              <w:rPr/>
              <w:t>RSUs</w:t>
            </w:r>
          </w:p>
        </w:tc>
        <w:tc>
          <w:tcPr>
            <w:tcW w:w="144"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Grant Date</w:t>
              <w:br/>
              <w:t>Fair Value</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13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2</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21.78</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1.49</w:t>
            </w:r>
          </w:p>
        </w:tc>
        <w:tc>
          <w:tcPr>
            <w:tcW w:w="13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Vested</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474" w:type="dxa"/>
            <w:tcBorders>
              <w:bottom w:val="single" w:sz="12" w:space="0" w:color="000000"/>
            </w:tcBorders>
            <w:tcMar>
              <w:bottom w:w="28" w:type="dxa"/>
            </w:tcMar>
            <w:vAlign w:val="center"/>
          </w:tcPr>
          <w:p>
            <w:pPr>
              <w:pStyle w:val="TableContents"/>
              <w:bidi w:val="0"/>
              <w:spacing w:before="0" w:after="283"/>
              <w:jc w:val="right"/>
              <w:rPr/>
            </w:pPr>
            <w:r>
              <w:rPr/>
              <w:t>(2</w:t>
            </w:r>
          </w:p>
        </w:tc>
        <w:tc>
          <w:tcPr>
            <w:tcW w:w="144" w:type="dxa"/>
            <w:tcBorders/>
            <w:vAlign w:val="center"/>
          </w:tcPr>
          <w:p>
            <w:pPr>
              <w:pStyle w:val="TableContents"/>
              <w:bidi w:val="0"/>
              <w:spacing w:before="0" w:after="283"/>
              <w:jc w:val="left"/>
              <w:rPr/>
            </w:pPr>
            <w:r>
              <w:rPr/>
              <w:t>)</w:t>
            </w:r>
          </w:p>
        </w:tc>
        <w:tc>
          <w:tcPr>
            <w:tcW w:w="103"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tcMar>
              <w:bottom w:w="28" w:type="dxa"/>
            </w:tcMar>
            <w:vAlign w:val="center"/>
          </w:tcPr>
          <w:p>
            <w:pPr>
              <w:pStyle w:val="TableContents"/>
              <w:bidi w:val="0"/>
              <w:spacing w:before="0" w:after="283"/>
              <w:jc w:val="right"/>
              <w:rPr/>
            </w:pPr>
            <w:r>
              <w:rPr/>
              <w:t>21.78</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Balance, as of September 30, 2025</w:t>
            </w:r>
          </w:p>
        </w:tc>
        <w:tc>
          <w:tcPr>
            <w:tcW w:w="9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4"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PSUs and related transactions since December 31, 2024 (in thousands, except weighted average grant date fair value):</w:t>
      </w:r>
    </w:p>
    <w:p>
      <w:pPr>
        <w:pStyle w:val="TextBody"/>
        <w:bidi w:val="0"/>
        <w:spacing w:before="0" w:after="0"/>
        <w:ind w:left="0" w:right="0" w:hanging="0"/>
        <w:jc w:val="left"/>
        <w:rPr>
          <w:caps w:val="false"/>
          <w:smallCaps w:val="false"/>
        </w:rPr>
      </w:pPr>
      <w:r>
        <w:rPr>
          <w:caps w:val="false"/>
          <w:smallCaps w:val="false"/>
        </w:rPr>
        <w:t> </w:t>
      </w:r>
    </w:p>
    <w:tbl>
      <w:tblPr>
        <w:tblW w:w="6819" w:type="dxa"/>
        <w:jc w:val="left"/>
        <w:tblInd w:w="0" w:type="dxa"/>
        <w:tblLayout w:type="fixed"/>
        <w:tblCellMar>
          <w:top w:w="0" w:type="dxa"/>
          <w:left w:w="0" w:type="dxa"/>
          <w:bottom w:w="0" w:type="dxa"/>
          <w:right w:w="0" w:type="dxa"/>
        </w:tblCellMar>
      </w:tblPr>
      <w:tblGrid>
        <w:gridCol w:w="3470"/>
        <w:gridCol w:w="90"/>
        <w:gridCol w:w="139"/>
        <w:gridCol w:w="451"/>
        <w:gridCol w:w="125"/>
        <w:gridCol w:w="90"/>
        <w:gridCol w:w="245"/>
        <w:gridCol w:w="854"/>
        <w:gridCol w:w="90"/>
        <w:gridCol w:w="90"/>
        <w:gridCol w:w="276"/>
        <w:gridCol w:w="764"/>
        <w:gridCol w:w="135"/>
      </w:tblGrid>
      <w:tr>
        <w:trPr/>
        <w:tc>
          <w:tcPr>
            <w:tcW w:w="34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pPr>
            <w:r>
              <w:rPr/>
              <w:t>PSUs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Grant Date</w:t>
              <w:b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1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Unvested, as of December 31, 2024</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34.50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4.47</w:t>
            </w:r>
          </w:p>
        </w:tc>
        <w:tc>
          <w:tcPr>
            <w:tcW w:w="135" w:type="dxa"/>
            <w:tcBorders/>
            <w:shd w:fill="CCEEFF" w:val="clear"/>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Vested</w:t>
            </w:r>
          </w:p>
        </w:tc>
        <w:tc>
          <w:tcPr>
            <w:tcW w:w="90" w:type="dxa"/>
            <w:tcBorders/>
            <w:vAlign w:val="center"/>
          </w:tcPr>
          <w:p>
            <w:pPr>
              <w:pStyle w:val="TableContents"/>
              <w:bidi w:val="0"/>
              <w:spacing w:before="0" w:after="283"/>
              <w:jc w:val="left"/>
              <w:rPr/>
            </w:pPr>
            <w:r>
              <w:rPr/>
              <w:t> </w:t>
            </w:r>
          </w:p>
        </w:tc>
        <w:tc>
          <w:tcPr>
            <w:tcW w:w="139" w:type="dxa"/>
            <w:tcBorders>
              <w:bottom w:val="single" w:sz="12" w:space="0" w:color="000000"/>
            </w:tcBorders>
            <w:tcMar>
              <w:bottom w:w="28" w:type="dxa"/>
            </w:tcMar>
            <w:vAlign w:val="center"/>
          </w:tcPr>
          <w:p>
            <w:pPr>
              <w:pStyle w:val="TableContents"/>
              <w:bidi w:val="0"/>
              <w:spacing w:before="0" w:after="283"/>
              <w:jc w:val="left"/>
              <w:rPr/>
            </w:pPr>
            <w:r>
              <w:rPr/>
              <w:t> </w:t>
            </w:r>
          </w:p>
        </w:tc>
        <w:tc>
          <w:tcPr>
            <w:tcW w:w="451" w:type="dxa"/>
            <w:tcBorders>
              <w:bottom w:val="single" w:sz="12" w:space="0" w:color="000000"/>
            </w:tcBorders>
            <w:tcMar>
              <w:bottom w:w="28" w:type="dxa"/>
            </w:tcMar>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tcMar>
              <w:bottom w:w="28" w:type="dxa"/>
            </w:tcMar>
            <w:vAlign w:val="center"/>
          </w:tcPr>
          <w:p>
            <w:pPr>
              <w:pStyle w:val="TableContents"/>
              <w:bidi w:val="0"/>
              <w:spacing w:before="0" w:after="283"/>
              <w:jc w:val="right"/>
              <w:rPr/>
            </w:pPr>
            <w:r>
              <w:rPr/>
              <w:t>34.50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Balance, as of September 30, 2025</w:t>
            </w:r>
          </w:p>
        </w:tc>
        <w:tc>
          <w:tcPr>
            <w:tcW w:w="9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Share-based payment compensation cost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compensation expense for PSUs is based on 100% vesting which was a part of the termination benefits for all employees who were terminated in 2022. We recorded share-based payment award compensation costs related to previously issued options, RSU and PSUs, as well as shares of common stock issued under our employee stock purchase plan (“ESPP”) totaling $0 and $33 thousand for the three months ended September 30, 2025 and 2024, and $24 thousand and $240 thousand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there was no unrecognized share-based payment award compensation cost related to unvested options, RSUs and PSUs as well as shares issuable under our ESPP. No tax benefit was realized due to a continued pattern of net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Mayne Pharma will make one-time, milestone payments to us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will pay to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will pay to us minimum annual royalties of $3.0 million per year for 12 years, adjusted for inflation at an annual rate of 3%, subject to certain further adjustments.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pay any significant federal or state income taxes due to net operating loss carry forwards from prior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full valuation allowance of the net operating income and losses for the three and nine months ended September 30, 2025 and 2024. Accordingly, there were no provisions for income taxes for the three and nine months ended September 30, 2025 and 2024. Additionally, as of September 30, 2025 and December 31, 2024, we maintain a full valuation allowance for all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Earnings (loss) per common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(loss) per common share for the periods presented (in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39"/>
        <w:gridCol w:w="90"/>
        <w:gridCol w:w="176"/>
        <w:gridCol w:w="738"/>
        <w:gridCol w:w="93"/>
        <w:gridCol w:w="93"/>
        <w:gridCol w:w="176"/>
        <w:gridCol w:w="738"/>
        <w:gridCol w:w="125"/>
        <w:gridCol w:w="90"/>
        <w:gridCol w:w="170"/>
        <w:gridCol w:w="710"/>
        <w:gridCol w:w="125"/>
        <w:gridCol w:w="90"/>
        <w:gridCol w:w="170"/>
        <w:gridCol w:w="710"/>
        <w:gridCol w:w="172"/>
      </w:tblGrid>
      <w:tr>
        <w:trPr/>
        <w:tc>
          <w:tcPr>
            <w:tcW w:w="5739" w:type="dxa"/>
            <w:tcBorders/>
            <w:vAlign w:val="center"/>
          </w:tcPr>
          <w:p>
            <w:pPr>
              <w:pStyle w:val="TableContents"/>
              <w:bidi w:val="0"/>
              <w:spacing w:before="0" w:after="283"/>
              <w:ind w:left="0" w:right="0" w:hanging="200"/>
              <w:jc w:val="left"/>
              <w:rPr/>
            </w:pPr>
            <w:r>
              <w:rPr/>
              <w:t> </w:t>
            </w:r>
          </w:p>
        </w:tc>
        <w:tc>
          <w:tcPr>
            <w:tcW w:w="90" w:type="dxa"/>
            <w:tcBorders/>
            <w:vAlign w:val="center"/>
          </w:tcPr>
          <w:p>
            <w:pPr>
              <w:pStyle w:val="TableContents"/>
              <w:bidi w:val="0"/>
              <w:spacing w:before="0" w:after="283"/>
              <w:jc w:val="left"/>
              <w:rPr/>
            </w:pPr>
            <w:r>
              <w:rPr/>
              <w:t> </w:t>
            </w:r>
          </w:p>
        </w:tc>
        <w:tc>
          <w:tcPr>
            <w:tcW w:w="2014"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pPr>
            <w:r>
              <w:rPr/>
              <w:t>Nine Months Ended</w:t>
              <w:br/>
              <w:t>September 30,</w:t>
            </w:r>
          </w:p>
        </w:tc>
        <w:tc>
          <w:tcPr>
            <w:tcW w:w="172" w:type="dxa"/>
            <w:tcBorders/>
            <w:vAlign w:val="center"/>
          </w:tcPr>
          <w:p>
            <w:pPr>
              <w:pStyle w:val="TableContents"/>
              <w:bidi w:val="0"/>
              <w:spacing w:before="0" w:after="283"/>
              <w:ind w:left="0" w:right="0" w:hanging="200"/>
              <w:jc w:val="left"/>
              <w:rPr/>
            </w:pPr>
            <w:r>
              <w:rPr/>
              <w:t> </w:t>
            </w:r>
          </w:p>
        </w:tc>
      </w:tr>
      <w:tr>
        <w:trPr/>
        <w:tc>
          <w:tcPr>
            <w:tcW w:w="57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14"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2" w:type="dxa"/>
            <w:tcBorders/>
            <w:vAlign w:val="center"/>
          </w:tcPr>
          <w:p>
            <w:pPr>
              <w:pStyle w:val="TableContents"/>
              <w:bidi w:val="0"/>
              <w:spacing w:before="0" w:after="283"/>
              <w:ind w:left="0" w:right="0" w:hanging="200"/>
              <w:jc w:val="left"/>
              <w:rPr/>
            </w:pPr>
            <w:r>
              <w:rPr/>
              <w:t> </w:t>
            </w:r>
          </w:p>
        </w:tc>
      </w:tr>
      <w:tr>
        <w:trPr/>
        <w:tc>
          <w:tcPr>
            <w:tcW w:w="5739" w:type="dxa"/>
            <w:tcBorders/>
            <w:vAlign w:val="center"/>
          </w:tcPr>
          <w:p>
            <w:pPr>
              <w:pStyle w:val="TableContents"/>
              <w:bidi w:val="0"/>
              <w:spacing w:before="0" w:after="283"/>
              <w:jc w:val="left"/>
              <w:rPr/>
            </w:pPr>
            <w:r>
              <w:rPr/>
              <w:t>Numerator:</w:t>
            </w:r>
          </w:p>
        </w:tc>
        <w:tc>
          <w:tcPr>
            <w:tcW w:w="90" w:type="dxa"/>
            <w:tcBorders/>
            <w:vAlign w:val="center"/>
          </w:tcPr>
          <w:p>
            <w:pPr>
              <w:pStyle w:val="TableContents"/>
              <w:bidi w:val="0"/>
              <w:spacing w:before="0" w:after="283"/>
              <w:jc w:val="left"/>
              <w:rPr/>
            </w:pPr>
            <w:r>
              <w:rPr/>
              <w:t> </w:t>
            </w:r>
          </w:p>
        </w:tc>
        <w:tc>
          <w:tcPr>
            <w:tcW w:w="914"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1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200"/>
              <w:jc w:val="left"/>
              <w:rPr/>
            </w:pPr>
            <w:r>
              <w:rPr/>
              <w:t> </w:t>
            </w:r>
          </w:p>
        </w:tc>
      </w:tr>
      <w:tr>
        <w:trPr/>
        <w:tc>
          <w:tcPr>
            <w:tcW w:w="5739" w:type="dxa"/>
            <w:tcBorders/>
            <w:shd w:fill="CCEEFF" w:val="clear"/>
            <w:vAlign w:val="center"/>
          </w:tcPr>
          <w:p>
            <w:pPr>
              <w:pStyle w:val="TableContents"/>
              <w:bidi w:val="0"/>
              <w:spacing w:before="0" w:after="283"/>
              <w:jc w:val="left"/>
              <w:rPr/>
            </w:pPr>
            <w:r>
              <w:rPr/>
              <w:t>Income (loss) from continuing operations, net of income taxes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50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(567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(2,426</w:t>
            </w:r>
          </w:p>
        </w:tc>
        <w:tc>
          <w:tcPr>
            <w:tcW w:w="172" w:type="dxa"/>
            <w:tcBorders/>
            <w:shd w:fill="CCEEFF" w:val="clear"/>
            <w:vAlign w:val="center"/>
          </w:tcPr>
          <w:p>
            <w:pPr>
              <w:pStyle w:val="TableContents"/>
              <w:bidi w:val="0"/>
              <w:spacing w:before="0" w:after="283"/>
              <w:ind w:left="0" w:right="0" w:hanging="200"/>
              <w:jc w:val="left"/>
              <w:rPr/>
            </w:pPr>
            <w:r>
              <w:rPr/>
              <w:t>)</w:t>
            </w:r>
          </w:p>
        </w:tc>
      </w:tr>
      <w:tr>
        <w:trPr/>
        <w:tc>
          <w:tcPr>
            <w:tcW w:w="5739" w:type="dxa"/>
            <w:tcBorders/>
            <w:vAlign w:val="center"/>
          </w:tcPr>
          <w:p>
            <w:pPr>
              <w:pStyle w:val="TableContents"/>
              <w:bidi w:val="0"/>
              <w:spacing w:before="0" w:after="283"/>
              <w:jc w:val="left"/>
              <w:rPr/>
            </w:pPr>
            <w:r>
              <w:rPr/>
              <w:t>Income (loss) from discontinued operations, net of income taxes</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pPr>
            <w:r>
              <w:rPr/>
              <w:t>102</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(7</w:t>
            </w:r>
          </w:p>
        </w:tc>
        <w:tc>
          <w:tcPr>
            <w:tcW w:w="172" w:type="dxa"/>
            <w:tcBorders/>
            <w:vAlign w:val="center"/>
          </w:tcPr>
          <w:p>
            <w:pPr>
              <w:pStyle w:val="TableContents"/>
              <w:bidi w:val="0"/>
              <w:spacing w:before="0" w:after="283"/>
              <w:ind w:left="0" w:right="0" w:hanging="200"/>
              <w:jc w:val="left"/>
              <w:rPr/>
            </w:pPr>
            <w:r>
              <w:rPr/>
              <w:t>)</w:t>
            </w:r>
          </w:p>
        </w:tc>
      </w:tr>
      <w:tr>
        <w:trPr/>
        <w:tc>
          <w:tcPr>
            <w:tcW w:w="5739"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2"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12" w:space="0" w:color="000000"/>
            </w:tcBorders>
            <w:shd w:fill="CCEEFF" w:val="clear"/>
            <w:tcMar>
              <w:bottom w:w="28" w:type="dxa"/>
            </w:tcMar>
            <w:vAlign w:val="center"/>
          </w:tcPr>
          <w:p>
            <w:pPr>
              <w:pStyle w:val="TableContents"/>
              <w:bidi w:val="0"/>
              <w:spacing w:before="0" w:after="283"/>
              <w:jc w:val="right"/>
              <w:rPr/>
            </w:pPr>
            <w:r>
              <w:rPr/>
              <w:t>152</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12"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12" w:space="0" w:color="000000"/>
            </w:tcBorders>
            <w:shd w:fill="CCEEFF" w:val="clear"/>
            <w:tcMar>
              <w:bottom w:w="28" w:type="dxa"/>
            </w:tcMar>
            <w:vAlign w:val="center"/>
          </w:tcPr>
          <w:p>
            <w:pPr>
              <w:pStyle w:val="TableContents"/>
              <w:bidi w:val="0"/>
              <w:spacing w:before="0" w:after="283"/>
              <w:jc w:val="right"/>
              <w:rPr/>
            </w:pPr>
            <w:r>
              <w:rPr/>
              <w:t>(609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2" w:space="0" w:color="000000"/>
            </w:tcBorders>
            <w:shd w:fill="CCEEFF" w:val="clear"/>
            <w:tcMar>
              <w:bottom w:w="28" w:type="dxa"/>
            </w:tcMar>
            <w:vAlign w:val="center"/>
          </w:tcPr>
          <w:p>
            <w:pPr>
              <w:pStyle w:val="TableContents"/>
              <w:bidi w:val="0"/>
              <w:spacing w:before="0" w:after="283"/>
              <w:jc w:val="right"/>
              <w:rPr/>
            </w:pPr>
            <w:r>
              <w:rPr/>
              <w:t>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2" w:space="0" w:color="000000"/>
            </w:tcBorders>
            <w:shd w:fill="CCEEFF" w:val="clear"/>
            <w:tcMar>
              <w:bottom w:w="28" w:type="dxa"/>
            </w:tcMar>
            <w:vAlign w:val="center"/>
          </w:tcPr>
          <w:p>
            <w:pPr>
              <w:pStyle w:val="TableContents"/>
              <w:bidi w:val="0"/>
              <w:spacing w:before="0" w:after="283"/>
              <w:jc w:val="right"/>
              <w:rPr/>
            </w:pPr>
            <w:r>
              <w:rPr/>
              <w:t>(2,433</w:t>
            </w:r>
          </w:p>
        </w:tc>
        <w:tc>
          <w:tcPr>
            <w:tcW w:w="172" w:type="dxa"/>
            <w:tcBorders/>
            <w:shd w:fill="CCEEFF" w:val="clear"/>
            <w:vAlign w:val="center"/>
          </w:tcPr>
          <w:p>
            <w:pPr>
              <w:pStyle w:val="TableContents"/>
              <w:bidi w:val="0"/>
              <w:spacing w:before="0" w:after="283"/>
              <w:ind w:left="0" w:right="0" w:hanging="200"/>
              <w:jc w:val="left"/>
              <w:rPr/>
            </w:pPr>
            <w:r>
              <w:rPr/>
              <w:t>)</w:t>
            </w:r>
          </w:p>
        </w:tc>
      </w:tr>
      <w:tr>
        <w:trPr/>
        <w:tc>
          <w:tcPr>
            <w:tcW w:w="5739" w:type="dxa"/>
            <w:tcBorders/>
            <w:vAlign w:val="center"/>
          </w:tcPr>
          <w:p>
            <w:pPr>
              <w:pStyle w:val="TableContents"/>
              <w:bidi w:val="0"/>
              <w:spacing w:before="0" w:after="283"/>
              <w:jc w:val="left"/>
              <w:rPr/>
            </w:pPr>
            <w:r>
              <w:rPr/>
              <w:t>Denominator:</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200"/>
              <w:jc w:val="left"/>
              <w:rPr/>
            </w:pPr>
            <w:r>
              <w:rPr/>
              <w:t> </w:t>
            </w:r>
          </w:p>
        </w:tc>
      </w:tr>
      <w:tr>
        <w:trPr/>
        <w:tc>
          <w:tcPr>
            <w:tcW w:w="5739" w:type="dxa"/>
            <w:tcBorders/>
            <w:shd w:fill="CCEEFF" w:val="clear"/>
            <w:vAlign w:val="center"/>
          </w:tcPr>
          <w:p>
            <w:pPr>
              <w:pStyle w:val="TableContents"/>
              <w:bidi w:val="0"/>
              <w:spacing w:before="0" w:after="283"/>
              <w:jc w:val="left"/>
              <w:rPr/>
            </w:pPr>
            <w:r>
              <w:rPr/>
              <w:t>Weighted average common shares for basic loss per common share</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11,574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11,532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11,532</w:t>
            </w:r>
          </w:p>
        </w:tc>
        <w:tc>
          <w:tcPr>
            <w:tcW w:w="172" w:type="dxa"/>
            <w:tcBorders/>
            <w:shd w:fill="CCEEFF" w:val="clear"/>
            <w:vAlign w:val="center"/>
          </w:tcPr>
          <w:p>
            <w:pPr>
              <w:pStyle w:val="TableContents"/>
              <w:bidi w:val="0"/>
              <w:spacing w:before="0" w:after="283"/>
              <w:ind w:left="0" w:right="0" w:hanging="200"/>
              <w:jc w:val="left"/>
              <w:rPr/>
            </w:pPr>
            <w:r>
              <w:rPr/>
              <w:t> </w:t>
            </w:r>
          </w:p>
        </w:tc>
      </w:tr>
      <w:tr>
        <w:trPr/>
        <w:tc>
          <w:tcPr>
            <w:tcW w:w="5739" w:type="dxa"/>
            <w:tcBorders/>
            <w:vAlign w:val="center"/>
          </w:tcPr>
          <w:p>
            <w:pPr>
              <w:pStyle w:val="TableContents"/>
              <w:bidi w:val="0"/>
              <w:spacing w:before="0" w:after="283"/>
              <w:jc w:val="left"/>
              <w:rPr/>
            </w:pPr>
            <w:r>
              <w:rPr/>
              <w:t>Effect of dilutive securities</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pPr>
            <w:r>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ind w:left="0" w:right="0" w:hanging="200"/>
              <w:jc w:val="left"/>
              <w:rPr/>
            </w:pPr>
            <w:r>
              <w:rPr/>
              <w:t> </w:t>
            </w:r>
          </w:p>
        </w:tc>
      </w:tr>
      <w:tr>
        <w:trPr/>
        <w:tc>
          <w:tcPr>
            <w:tcW w:w="5739" w:type="dxa"/>
            <w:tcBorders/>
            <w:shd w:fill="CCEEFF" w:val="clear"/>
            <w:vAlign w:val="center"/>
          </w:tcPr>
          <w:p>
            <w:pPr>
              <w:pStyle w:val="TableContents"/>
              <w:bidi w:val="0"/>
              <w:spacing w:before="0" w:after="283"/>
              <w:jc w:val="left"/>
              <w:rPr/>
            </w:pPr>
            <w:r>
              <w:rPr/>
              <w:t>Weighted average common shares for diluted income (loss) per common share</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double" w:sz="12" w:space="0" w:color="000000"/>
            </w:tcBorders>
            <w:shd w:fill="CCEEFF" w:val="clear"/>
            <w:tcMar>
              <w:bottom w:w="28" w:type="dxa"/>
            </w:tcMar>
            <w:vAlign w:val="center"/>
          </w:tcPr>
          <w:p>
            <w:pPr>
              <w:pStyle w:val="TableContents"/>
              <w:bidi w:val="0"/>
              <w:spacing w:before="0" w:after="283"/>
              <w:jc w:val="right"/>
              <w:rPr/>
            </w:pPr>
            <w:r>
              <w:rPr/>
              <w:t>11,574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double" w:sz="12" w:space="0" w:color="000000"/>
            </w:tcBorders>
            <w:shd w:fill="CCEEFF" w:val="clear"/>
            <w:tcMar>
              <w:bottom w:w="28" w:type="dxa"/>
            </w:tcMar>
            <w:vAlign w:val="center"/>
          </w:tcPr>
          <w:p>
            <w:pPr>
              <w:pStyle w:val="TableContents"/>
              <w:bidi w:val="0"/>
              <w:spacing w:before="0" w:after="283"/>
              <w:jc w:val="right"/>
              <w:rPr/>
            </w:pPr>
            <w:r>
              <w:rPr/>
              <w:t>11,532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2" w:space="0" w:color="000000"/>
            </w:tcBorders>
            <w:shd w:fill="CCEEFF" w:val="clear"/>
            <w:tcMar>
              <w:bottom w:w="28" w:type="dxa"/>
            </w:tcMar>
            <w:vAlign w:val="center"/>
          </w:tcPr>
          <w:p>
            <w:pPr>
              <w:pStyle w:val="TableContents"/>
              <w:bidi w:val="0"/>
              <w:spacing w:before="0" w:after="283"/>
              <w:jc w:val="right"/>
              <w:rPr/>
            </w:pPr>
            <w:r>
              <w:rPr/>
              <w:t>11,567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2" w:space="0" w:color="000000"/>
            </w:tcBorders>
            <w:shd w:fill="CCEEFF" w:val="clear"/>
            <w:tcMar>
              <w:bottom w:w="28" w:type="dxa"/>
            </w:tcMar>
            <w:vAlign w:val="center"/>
          </w:tcPr>
          <w:p>
            <w:pPr>
              <w:pStyle w:val="TableContents"/>
              <w:bidi w:val="0"/>
              <w:spacing w:before="0" w:after="283"/>
              <w:jc w:val="right"/>
              <w:rPr/>
            </w:pPr>
            <w:r>
              <w:rPr/>
              <w:t>11,532</w:t>
            </w:r>
          </w:p>
        </w:tc>
        <w:tc>
          <w:tcPr>
            <w:tcW w:w="172" w:type="dxa"/>
            <w:tcBorders/>
            <w:shd w:fill="CCEEFF" w:val="clear"/>
            <w:vAlign w:val="center"/>
          </w:tcPr>
          <w:p>
            <w:pPr>
              <w:pStyle w:val="TableContents"/>
              <w:bidi w:val="0"/>
              <w:spacing w:before="0" w:after="283"/>
              <w:ind w:left="0" w:right="0" w:hanging="200"/>
              <w:jc w:val="left"/>
              <w:rPr/>
            </w:pPr>
            <w:r>
              <w:rPr/>
              <w:t> </w:t>
            </w:r>
          </w:p>
        </w:tc>
      </w:tr>
      <w:tr>
        <w:trPr/>
        <w:tc>
          <w:tcPr>
            <w:tcW w:w="573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200"/>
              <w:jc w:val="left"/>
              <w:rPr/>
            </w:pPr>
            <w:r>
              <w:rPr/>
              <w:t> </w:t>
            </w:r>
          </w:p>
        </w:tc>
      </w:tr>
      <w:tr>
        <w:trPr/>
        <w:tc>
          <w:tcPr>
            <w:tcW w:w="5739" w:type="dxa"/>
            <w:tcBorders/>
            <w:shd w:fill="CCEEFF" w:val="clear"/>
            <w:vAlign w:val="center"/>
          </w:tcPr>
          <w:p>
            <w:pPr>
              <w:pStyle w:val="TableContents"/>
              <w:bidi w:val="0"/>
              <w:spacing w:before="0" w:after="283"/>
              <w:jc w:val="left"/>
              <w:rPr>
                <w:b/>
              </w:rPr>
            </w:pPr>
            <w:r>
              <w:rPr>
                <w:b/>
              </w:rPr>
              <w:t>Earnings (loss) per common share, continuing operations, net of income taxes</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200"/>
              <w:jc w:val="left"/>
              <w:rPr/>
            </w:pPr>
            <w:r>
              <w:rPr/>
              <w:t> </w:t>
            </w:r>
          </w:p>
        </w:tc>
      </w:tr>
      <w:tr>
        <w:trPr/>
        <w:tc>
          <w:tcPr>
            <w:tcW w:w="5739" w:type="dxa"/>
            <w:tcBorders/>
            <w:vAlign w:val="center"/>
          </w:tcPr>
          <w:p>
            <w:pPr>
              <w:pStyle w:val="TableContents"/>
              <w:bidi w:val="0"/>
              <w:spacing w:before="0" w:after="283"/>
              <w:jc w:val="left"/>
              <w:rPr/>
            </w:pPr>
            <w:r>
              <w:rPr/>
              <w:t>Basic</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38" w:type="dxa"/>
            <w:tcBorders/>
            <w:vAlign w:val="center"/>
          </w:tcPr>
          <w:p>
            <w:pPr>
              <w:pStyle w:val="TableContents"/>
              <w:bidi w:val="0"/>
              <w:spacing w:before="0" w:after="283"/>
              <w:jc w:val="right"/>
              <w:rPr/>
            </w:pPr>
            <w:r>
              <w:rPr/>
              <w:t>0.00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38" w:type="dxa"/>
            <w:tcBorders/>
            <w:vAlign w:val="center"/>
          </w:tcPr>
          <w:p>
            <w:pPr>
              <w:pStyle w:val="TableContents"/>
              <w:bidi w:val="0"/>
              <w:spacing w:before="0" w:after="283"/>
              <w:jc w:val="right"/>
              <w:rPr/>
            </w:pPr>
            <w:r>
              <w:rPr/>
              <w:t>(0.05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(0.21</w:t>
            </w:r>
          </w:p>
        </w:tc>
        <w:tc>
          <w:tcPr>
            <w:tcW w:w="172" w:type="dxa"/>
            <w:tcBorders/>
            <w:vAlign w:val="center"/>
          </w:tcPr>
          <w:p>
            <w:pPr>
              <w:pStyle w:val="TableContents"/>
              <w:bidi w:val="0"/>
              <w:spacing w:before="0" w:after="283"/>
              <w:ind w:left="0" w:right="0" w:hanging="200"/>
              <w:jc w:val="left"/>
              <w:rPr/>
            </w:pPr>
            <w:r>
              <w:rPr/>
              <w:t>)</w:t>
            </w:r>
          </w:p>
        </w:tc>
      </w:tr>
      <w:tr>
        <w:trPr/>
        <w:tc>
          <w:tcPr>
            <w:tcW w:w="5739" w:type="dxa"/>
            <w:tcBorders/>
            <w:shd w:fill="CCEEFF" w:val="clear"/>
            <w:vAlign w:val="center"/>
          </w:tcPr>
          <w:p>
            <w:pPr>
              <w:pStyle w:val="TableContents"/>
              <w:bidi w:val="0"/>
              <w:spacing w:before="0" w:after="283"/>
              <w:jc w:val="left"/>
              <w:rPr/>
            </w:pPr>
            <w:r>
              <w:rPr/>
              <w:t>Diluted</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0.00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(0.05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(0.21</w:t>
            </w:r>
          </w:p>
        </w:tc>
        <w:tc>
          <w:tcPr>
            <w:tcW w:w="172" w:type="dxa"/>
            <w:tcBorders/>
            <w:shd w:fill="CCEEFF" w:val="clear"/>
            <w:vAlign w:val="center"/>
          </w:tcPr>
          <w:p>
            <w:pPr>
              <w:pStyle w:val="TableContents"/>
              <w:bidi w:val="0"/>
              <w:spacing w:before="0" w:after="283"/>
              <w:ind w:left="0" w:right="0" w:hanging="200"/>
              <w:jc w:val="left"/>
              <w:rPr/>
            </w:pPr>
            <w:r>
              <w:rPr/>
              <w:t>)</w:t>
            </w:r>
          </w:p>
        </w:tc>
      </w:tr>
      <w:tr>
        <w:trPr/>
        <w:tc>
          <w:tcPr>
            <w:tcW w:w="5739" w:type="dxa"/>
            <w:tcBorders/>
            <w:vAlign w:val="center"/>
          </w:tcPr>
          <w:p>
            <w:pPr>
              <w:pStyle w:val="TableContents"/>
              <w:bidi w:val="0"/>
              <w:spacing w:before="0" w:after="283"/>
              <w:jc w:val="left"/>
              <w:rPr>
                <w:b/>
              </w:rPr>
            </w:pPr>
            <w:r>
              <w:rPr>
                <w:b/>
              </w:rPr>
              <w:t>Earnings (loss) per common share, discontinued operations, net of income taxes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200"/>
              <w:jc w:val="left"/>
              <w:rPr/>
            </w:pPr>
            <w:r>
              <w:rPr/>
              <w:t> </w:t>
            </w:r>
          </w:p>
        </w:tc>
      </w:tr>
      <w:tr>
        <w:trPr/>
        <w:tc>
          <w:tcPr>
            <w:tcW w:w="5739" w:type="dxa"/>
            <w:tcBorders/>
            <w:shd w:fill="CCEEFF" w:val="clear"/>
            <w:vAlign w:val="center"/>
          </w:tcPr>
          <w:p>
            <w:pPr>
              <w:pStyle w:val="TableContents"/>
              <w:bidi w:val="0"/>
              <w:spacing w:before="0" w:after="283"/>
              <w:jc w:val="left"/>
              <w:rPr/>
            </w:pPr>
            <w:r>
              <w:rPr/>
              <w:t>Basic</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0.01</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0.01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(0.00</w:t>
            </w:r>
          </w:p>
        </w:tc>
        <w:tc>
          <w:tcPr>
            <w:tcW w:w="172" w:type="dxa"/>
            <w:tcBorders/>
            <w:shd w:fill="CCEEFF" w:val="clear"/>
            <w:vAlign w:val="center"/>
          </w:tcPr>
          <w:p>
            <w:pPr>
              <w:pStyle w:val="TableContents"/>
              <w:bidi w:val="0"/>
              <w:spacing w:before="0" w:after="283"/>
              <w:ind w:left="0" w:right="0" w:hanging="200"/>
              <w:jc w:val="left"/>
              <w:rPr/>
            </w:pPr>
            <w:r>
              <w:rPr/>
              <w:t>)</w:t>
            </w:r>
          </w:p>
        </w:tc>
      </w:tr>
      <w:tr>
        <w:trPr/>
        <w:tc>
          <w:tcPr>
            <w:tcW w:w="5739" w:type="dxa"/>
            <w:tcBorders/>
            <w:vAlign w:val="center"/>
          </w:tcPr>
          <w:p>
            <w:pPr>
              <w:pStyle w:val="TableContents"/>
              <w:bidi w:val="0"/>
              <w:spacing w:before="0" w:after="283"/>
              <w:jc w:val="left"/>
              <w:rPr/>
            </w:pPr>
            <w:r>
              <w:rPr/>
              <w:t>Diluted</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38" w:type="dxa"/>
            <w:tcBorders/>
            <w:vAlign w:val="center"/>
          </w:tcPr>
          <w:p>
            <w:pPr>
              <w:pStyle w:val="TableContents"/>
              <w:bidi w:val="0"/>
              <w:spacing w:before="0" w:after="283"/>
              <w:jc w:val="right"/>
              <w:rPr/>
            </w:pPr>
            <w:r>
              <w:rPr/>
              <w:t>0.01</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738" w:type="dxa"/>
            <w:tcBorders/>
            <w:vAlign w:val="center"/>
          </w:tcPr>
          <w:p>
            <w:pPr>
              <w:pStyle w:val="TableContents"/>
              <w:bidi w:val="0"/>
              <w:spacing w:before="0" w:after="283"/>
              <w:jc w:val="right"/>
              <w:rPr/>
            </w:pPr>
            <w:r>
              <w:rPr/>
              <w:t>(0.00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0.01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(0.00</w:t>
            </w:r>
          </w:p>
        </w:tc>
        <w:tc>
          <w:tcPr>
            <w:tcW w:w="172"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the remaining balance of our warrants and stock options were excluded from the calculation of diluted earnings (loss) per share because the weighted exercise prices of the warrants and stock options were greater than or equal to the average price of the common shares and were therefore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2024 and for the nine months ended September 30, 2024 and 2025, respectively, since we reported a net loss from continuing operations, our potentially dilutive securities are deemed to be anti-dilutive, accordingly, there was no effect of dilutive securities. Therefore, our basic and diluted loss per common share and our basic and diluted weighted average common shares from continuing operations are the same for the three and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weighted average securities for the periods presented which were not included in the calculation of diluted earnings (loss) per common share as of September 30 for the respective three and nine month periods (in thousands):</w:t>
      </w:r>
    </w:p>
    <w:p>
      <w:pPr>
        <w:pStyle w:val="TextBody"/>
        <w:bidi w:val="0"/>
        <w:spacing w:before="0" w:after="0"/>
        <w:ind w:left="0" w:right="0" w:hanging="0"/>
        <w:jc w:val="left"/>
        <w:rPr>
          <w:caps w:val="false"/>
          <w:smallCaps w:val="false"/>
        </w:rPr>
      </w:pPr>
      <w:r>
        <w:rPr>
          <w:caps w:val="false"/>
          <w:smallCaps w:val="false"/>
        </w:rPr>
        <w:t>  </w:t>
      </w:r>
    </w:p>
    <w:tbl>
      <w:tblPr>
        <w:tblW w:w="5786" w:type="dxa"/>
        <w:jc w:val="left"/>
        <w:tblInd w:w="0" w:type="dxa"/>
        <w:tblLayout w:type="fixed"/>
        <w:tblCellMar>
          <w:top w:w="0" w:type="dxa"/>
          <w:left w:w="0" w:type="dxa"/>
          <w:bottom w:w="0" w:type="dxa"/>
          <w:right w:w="0" w:type="dxa"/>
        </w:tblCellMar>
      </w:tblPr>
      <w:tblGrid>
        <w:gridCol w:w="1355"/>
        <w:gridCol w:w="90"/>
        <w:gridCol w:w="157"/>
        <w:gridCol w:w="715"/>
        <w:gridCol w:w="157"/>
        <w:gridCol w:w="157"/>
        <w:gridCol w:w="157"/>
        <w:gridCol w:w="715"/>
        <w:gridCol w:w="90"/>
        <w:gridCol w:w="90"/>
        <w:gridCol w:w="150"/>
        <w:gridCol w:w="684"/>
        <w:gridCol w:w="150"/>
        <w:gridCol w:w="150"/>
        <w:gridCol w:w="150"/>
        <w:gridCol w:w="684"/>
        <w:gridCol w:w="135"/>
      </w:tblGrid>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8"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pPr>
            <w:r>
              <w:rPr/>
              <w:t>Nine Months Ended</w:t>
              <w:br/>
              <w:t>September 30,</w:t>
            </w:r>
          </w:p>
        </w:tc>
        <w:tc>
          <w:tcPr>
            <w:tcW w:w="13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834"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51</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52</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62</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RSUs</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0"/>
              <w:jc w:val="right"/>
              <w:rPr/>
            </w:pPr>
            <w:r>
              <w:rPr/>
              <w:t>—</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PSUs</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0"/>
              <w:jc w:val="right"/>
              <w:rPr/>
            </w:pPr>
            <w:r>
              <w:rPr/>
              <w:t>—</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1</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5</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Warrants</w:t>
            </w:r>
          </w:p>
        </w:tc>
        <w:tc>
          <w:tcPr>
            <w:tcW w:w="90" w:type="dxa"/>
            <w:tcBorders/>
            <w:vAlign w:val="center"/>
          </w:tcPr>
          <w:p>
            <w:pPr>
              <w:pStyle w:val="TableContents"/>
              <w:bidi w:val="0"/>
              <w:spacing w:before="0" w:after="283"/>
              <w:jc w:val="left"/>
              <w:rPr/>
            </w:pPr>
            <w:r>
              <w:rPr/>
              <w:t> </w:t>
            </w:r>
          </w:p>
        </w:tc>
        <w:tc>
          <w:tcPr>
            <w:tcW w:w="157" w:type="dxa"/>
            <w:tcBorders>
              <w:bottom w:val="single" w:sz="12" w:space="0" w:color="000000"/>
            </w:tcBorders>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tcMar>
              <w:bottom w:w="28" w:type="dxa"/>
            </w:tcMar>
            <w:vAlign w:val="center"/>
          </w:tcPr>
          <w:p>
            <w:pPr>
              <w:pStyle w:val="TableContents"/>
              <w:bidi w:val="0"/>
              <w:spacing w:before="0" w:after="283"/>
              <w:jc w:val="right"/>
              <w:rPr/>
            </w:pPr>
            <w:r>
              <w:rPr/>
              <w:t>98</w:t>
            </w:r>
          </w:p>
        </w:tc>
        <w:tc>
          <w:tcPr>
            <w:tcW w:w="15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57" w:type="dxa"/>
            <w:tcBorders>
              <w:bottom w:val="single" w:sz="12" w:space="0" w:color="000000"/>
            </w:tcBorders>
            <w:tcMar>
              <w:bottom w:w="28" w:type="dxa"/>
            </w:tcMar>
            <w:vAlign w:val="center"/>
          </w:tcPr>
          <w:p>
            <w:pPr>
              <w:pStyle w:val="TableContents"/>
              <w:bidi w:val="0"/>
              <w:spacing w:before="0" w:after="283"/>
              <w:jc w:val="left"/>
              <w:rPr/>
            </w:pPr>
            <w:r>
              <w:rPr/>
              <w:t> </w:t>
            </w:r>
          </w:p>
        </w:tc>
        <w:tc>
          <w:tcPr>
            <w:tcW w:w="715" w:type="dxa"/>
            <w:tcBorders>
              <w:bottom w:val="single" w:sz="12" w:space="0" w:color="000000"/>
            </w:tcBorders>
            <w:tcMar>
              <w:bottom w:w="28" w:type="dxa"/>
            </w:tcMar>
            <w:vAlign w:val="center"/>
          </w:tcPr>
          <w:p>
            <w:pPr>
              <w:pStyle w:val="TableContents"/>
              <w:bidi w:val="0"/>
              <w:spacing w:before="0" w:after="283"/>
              <w:jc w:val="right"/>
              <w:rPr/>
            </w:pPr>
            <w:r>
              <w:rPr/>
              <w:t>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tcMar>
              <w:bottom w:w="28" w:type="dxa"/>
            </w:tcMar>
            <w:vAlign w:val="center"/>
          </w:tcPr>
          <w:p>
            <w:pPr>
              <w:pStyle w:val="TableContents"/>
              <w:bidi w:val="0"/>
              <w:spacing w:before="0" w:after="283"/>
              <w:jc w:val="right"/>
              <w:rPr/>
            </w:pPr>
            <w:r>
              <w:rPr/>
              <w:t>98</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tcMar>
              <w:bottom w:w="28" w:type="dxa"/>
            </w:tcMar>
            <w:vAlign w:val="center"/>
          </w:tcPr>
          <w:p>
            <w:pPr>
              <w:pStyle w:val="TableContents"/>
              <w:bidi w:val="0"/>
              <w:spacing w:before="0" w:after="283"/>
              <w:jc w:val="right"/>
              <w:rPr/>
            </w:pPr>
            <w:r>
              <w:rPr/>
              <w:t>97</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double" w:sz="10" w:space="0" w:color="000000"/>
            </w:tcBorders>
            <w:shd w:fill="CCEEFF" w:val="clear"/>
            <w:tcMar>
              <w:bottom w:w="28" w:type="dxa"/>
            </w:tcMar>
            <w:vAlign w:val="center"/>
          </w:tcPr>
          <w:p>
            <w:pPr>
              <w:pStyle w:val="TableContents"/>
              <w:bidi w:val="0"/>
              <w:spacing w:before="0" w:after="283"/>
              <w:jc w:val="right"/>
              <w:rPr/>
            </w:pPr>
            <w:r>
              <w:rPr/>
              <w:t>149</w:t>
            </w:r>
          </w:p>
        </w:tc>
        <w:tc>
          <w:tcPr>
            <w:tcW w:w="157"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double" w:sz="10" w:space="0" w:color="000000"/>
            </w:tcBorders>
            <w:shd w:fill="CCEEFF" w:val="clear"/>
            <w:tcMar>
              <w:bottom w:w="28" w:type="dxa"/>
            </w:tcMar>
            <w:vAlign w:val="center"/>
          </w:tcPr>
          <w:p>
            <w:pPr>
              <w:pStyle w:val="TableContents"/>
              <w:bidi w:val="0"/>
              <w:spacing w:before="0" w:after="283"/>
              <w:jc w:val="right"/>
              <w:rPr/>
            </w:pPr>
            <w:r>
              <w:rPr/>
              <w:t>166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double" w:sz="10" w:space="0" w:color="000000"/>
            </w:tcBorders>
            <w:shd w:fill="CCEEFF" w:val="clear"/>
            <w:tcMar>
              <w:bottom w:w="28" w:type="dxa"/>
            </w:tcMar>
            <w:vAlign w:val="center"/>
          </w:tcPr>
          <w:p>
            <w:pPr>
              <w:pStyle w:val="TableContents"/>
              <w:bidi w:val="0"/>
              <w:spacing w:before="0" w:after="283"/>
              <w:jc w:val="right"/>
              <w:rPr/>
            </w:pPr>
            <w:r>
              <w:rPr/>
              <w:t>151</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double" w:sz="10" w:space="0" w:color="000000"/>
            </w:tcBorders>
            <w:shd w:fill="CCEEFF" w:val="clear"/>
            <w:tcMar>
              <w:bottom w:w="28" w:type="dxa"/>
            </w:tcMar>
            <w:vAlign w:val="center"/>
          </w:tcPr>
          <w:p>
            <w:pPr>
              <w:pStyle w:val="TableContents"/>
              <w:bidi w:val="0"/>
              <w:spacing w:before="0" w:after="283"/>
              <w:jc w:val="right"/>
              <w:rPr/>
            </w:pPr>
            <w:r>
              <w:rPr/>
              <w:t>166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Related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23, 2022, we appointed Mr. Justin Roberts as a director to fill a newly created vacancy on our Board of Directors. Mr. Roberts was elected to serve as a director at our combined 2022 and 2023 Annual Meeting held on June 26, 2023. Mr. Roberts will serve until our next Annual Meeting of Stockholders or until his successor is duly elected or appointed or his earlier death or resignation. As a director, Mr. Roberts is entitled to receive compensation in the same manner as our other non-employee directors, described in the section entitled “Director Compensation” in our Amendment No. 1 to Form 10-K for the fiscal year ended December 31, 2022, filed with the Securities and Exchange Commission on May 1, 2023, but he has elected not to receive any compensation for his service as a non-employee director at this time. Mr. Roberts currently serves as a Partner of Rubric. On July 29, 2022, September 30, 2022, October 28, 2022, and May 1, 2023, we entered into subscription agreements with Rubric. On December 30, 2022, in accordance with the terms of the Certificate of Designation, we redeemed all 29,000 outstanding shares of Series A Preferred Stock previously issued to affiliates of Rubric at a purchase price of $1,333 per share and also paid certain affiliates of Rubric approximately $3.0 million as a make-whole payment pursuant to the subscription agreements previously entered into between us and Rubric. On June 29, 2023, we issued and sold 312,525 shares of Common Stock to Rubric at a price per share equal to $3.6797 pursuant to the Subscription Agreement and received gross proceeds of $1.15 million, before expenses. On November 15, 2023, Rubric drew down an additional 877,192 shares of Common Stock at a price per share equal to $2.2761. We received gross proceeds of $2.0 million from the drawdown, before expenses. There were no drawdowns in the first nine months of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Business concentrations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As part of the transformation that included the Mayne License Agreement, all results associated with former commercial operations have been reflected as discontinued operations in our condensed consolidated financial statements. Liabilities associated with the commercial business are classified as liabilities of discontinued operations in our condensed consolidated balance sheets. Additional disclosures regarding discontinued operations are provided in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September 30, 2025, 100% of license revenue related to Mayne Pharma, Theramex and Knight.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a royalty receivable of $3,665 thousand relating to the short-term portion of receivable from Mayne Pharma, Theramex and Knight and $14,269 thousand relating to the long-term portion of royalty receivable which includes royalties recognized from the minimum annual royalty that Mayne Pharma is obligated to pay to us under the Mayne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one segment. Accordingly, our license revenue, net income (loss), and total assets reflect the revenue, income (loss), and assets of the single segment,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is the chief operating decision maker (“CODM”). The CODM uses Net loss in assessing the performance and in determining the allocation of resources of our reportable segment. The CODM is regularly provided expense information consistent with the expense categories presented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total revenue by geographic location.</w:t>
      </w:r>
    </w:p>
    <w:p>
      <w:pPr>
        <w:pStyle w:val="TextBody"/>
        <w:bidi w:val="0"/>
        <w:spacing w:before="0" w:after="0"/>
        <w:ind w:left="0" w:right="0" w:hanging="0"/>
        <w:jc w:val="left"/>
        <w:rPr>
          <w:caps w:val="false"/>
          <w:smallCaps w:val="false"/>
        </w:rPr>
      </w:pPr>
      <w:r>
        <w:rPr>
          <w:caps w:val="false"/>
          <w:smallCaps w:val="false"/>
        </w:rPr>
        <w:t> </w:t>
      </w:r>
    </w:p>
    <w:tbl>
      <w:tblPr>
        <w:tblW w:w="6131" w:type="dxa"/>
        <w:jc w:val="left"/>
        <w:tblInd w:w="0" w:type="dxa"/>
        <w:tblLayout w:type="fixed"/>
        <w:tblCellMar>
          <w:top w:w="0" w:type="dxa"/>
          <w:left w:w="0" w:type="dxa"/>
          <w:bottom w:w="0" w:type="dxa"/>
          <w:right w:w="0" w:type="dxa"/>
        </w:tblCellMar>
      </w:tblPr>
      <w:tblGrid>
        <w:gridCol w:w="1700"/>
        <w:gridCol w:w="90"/>
        <w:gridCol w:w="261"/>
        <w:gridCol w:w="630"/>
        <w:gridCol w:w="138"/>
        <w:gridCol w:w="138"/>
        <w:gridCol w:w="261"/>
        <w:gridCol w:w="630"/>
        <w:gridCol w:w="90"/>
        <w:gridCol w:w="90"/>
        <w:gridCol w:w="197"/>
        <w:gridCol w:w="683"/>
        <w:gridCol w:w="104"/>
        <w:gridCol w:w="104"/>
        <w:gridCol w:w="197"/>
        <w:gridCol w:w="683"/>
        <w:gridCol w:w="135"/>
      </w:tblGrid>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8"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pPr>
            <w:r>
              <w:rPr/>
              <w:t>Nine Months Ended</w:t>
              <w:br/>
              <w:t>September 30,</w:t>
            </w:r>
          </w:p>
        </w:tc>
        <w:tc>
          <w:tcPr>
            <w:tcW w:w="13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9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b/>
              </w:rPr>
            </w:pPr>
            <w:r>
              <w:rPr>
                <w:b/>
              </w:rPr>
              <w:t>License revenue</w:t>
            </w:r>
          </w:p>
        </w:tc>
        <w:tc>
          <w:tcPr>
            <w:tcW w:w="90"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righ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448</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630" w:type="dxa"/>
            <w:tcBorders/>
            <w:shd w:fill="CCEEFF" w:val="clear"/>
            <w:vAlign w:val="center"/>
          </w:tcPr>
          <w:p>
            <w:pPr>
              <w:pStyle w:val="TableContents"/>
              <w:bidi w:val="0"/>
              <w:spacing w:before="0" w:after="283"/>
              <w:jc w:val="right"/>
              <w:rPr/>
            </w:pPr>
            <w:r>
              <w:rPr/>
              <w:t>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1,265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692</w:t>
            </w:r>
          </w:p>
        </w:tc>
        <w:tc>
          <w:tcPr>
            <w:tcW w:w="13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Non-U.S.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630" w:type="dxa"/>
            <w:tcBorders>
              <w:bottom w:val="single" w:sz="12" w:space="0" w:color="000000"/>
            </w:tcBorders>
            <w:tcMar>
              <w:bottom w:w="28" w:type="dxa"/>
            </w:tcMar>
            <w:vAlign w:val="center"/>
          </w:tcPr>
          <w:p>
            <w:pPr>
              <w:pStyle w:val="TableContents"/>
              <w:bidi w:val="0"/>
              <w:spacing w:before="0" w:after="283"/>
              <w:jc w:val="right"/>
              <w:rPr/>
            </w:pPr>
            <w:r>
              <w:rPr/>
              <w:t>336</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630" w:type="dxa"/>
            <w:tcBorders>
              <w:bottom w:val="single" w:sz="12" w:space="0" w:color="000000"/>
            </w:tcBorders>
            <w:tcMar>
              <w:bottom w:w="28" w:type="dxa"/>
            </w:tcMar>
            <w:vAlign w:val="center"/>
          </w:tcPr>
          <w:p>
            <w:pPr>
              <w:pStyle w:val="TableContents"/>
              <w:bidi w:val="0"/>
              <w:spacing w:before="0" w:after="283"/>
              <w:jc w:val="right"/>
              <w:rPr/>
            </w:pPr>
            <w:r>
              <w:rPr/>
              <w:t>163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864</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402</w:t>
            </w:r>
          </w:p>
        </w:tc>
        <w:tc>
          <w:tcPr>
            <w:tcW w:w="13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0" w:type="dxa"/>
            <w:tcBorders>
              <w:bottom w:val="double" w:sz="10" w:space="0" w:color="000000"/>
            </w:tcBorders>
            <w:shd w:fill="CCEEFF" w:val="clear"/>
            <w:tcMar>
              <w:bottom w:w="28" w:type="dxa"/>
            </w:tcMar>
            <w:vAlign w:val="center"/>
          </w:tcPr>
          <w:p>
            <w:pPr>
              <w:pStyle w:val="TableContents"/>
              <w:bidi w:val="0"/>
              <w:spacing w:before="0" w:after="283"/>
              <w:jc w:val="right"/>
              <w:rPr/>
            </w:pPr>
            <w:r>
              <w:rPr/>
              <w:t>784</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0" w:type="dxa"/>
            <w:tcBorders>
              <w:bottom w:val="double" w:sz="10" w:space="0" w:color="000000"/>
            </w:tcBorders>
            <w:shd w:fill="CCEEFF" w:val="clear"/>
            <w:tcMar>
              <w:bottom w:w="28" w:type="dxa"/>
            </w:tcMar>
            <w:vAlign w:val="center"/>
          </w:tcPr>
          <w:p>
            <w:pPr>
              <w:pStyle w:val="TableContents"/>
              <w:bidi w:val="0"/>
              <w:spacing w:before="0" w:after="283"/>
              <w:jc w:val="right"/>
              <w:rPr/>
            </w:pPr>
            <w:r>
              <w:rPr/>
              <w:t>547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2,129</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1,094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our 2024 Annual Report on Form 10-K (“2024 10-K Report”), and the condensed consolidated financial statements and related notes in Item 1, Financial Statements, appearing elsewhere in this Quarterly Report on Form 10-Q (“10-Q Report”). The following discussion may contain forward-looking statements, and our actual results may differ materially from the results suggested by these forward-looking statements. Factors that might cause such differences include, but are not limited to, those discussed in Part I, Item 1A of our 2024 10-K Report under the heading “Risk Factors.” We assume no obligation to revise or update any forward-looking statements for any reason,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following discussion may not add due to rounding, and all percentages have been calculated using unrounded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10-Q Report contains forward-looking statements within the meaning of the Private Securities Litigation Reform Act of 1995. These forward-looking statements involve substantial risks and uncertainties. For example, statements regarding our operations, financial position, debt position, liquidity, business strategy, and other plans and objectives for future operations, and assumptions and predictions about future cost reduction strategies, expenses and royalties are all forward-looking statements. These statements are generally accompanied by words such as “intend,” “anticipate,” “believe,” “estimate,” “potential(ly),” “continue,” “forecast,” “predict,” “plan,” “may,” “will,” “could,” “would,” “should,” “expect,” or the negative of such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of this 10-Q Report, and we cannot assure you that these assumptions and expectations will prove to have been correct or that we will take any action that we may presently be planning. These forward-looking statements are inherently subject to known and unknown risks and uncertainties. Actual results or experience may differ materially from those expected or anticipated in the forward-looking statements. We do not undertake to update any forward-looking statements or to publicly announce the results of any revisions to any statements to reflect new information or future events or developments, except as required by law or by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many of which are outside of our control. Factors that could cause or contribute to such differences include, but are not limited to, our liquidity requirements, supply chain issues, management transitions, risks related to our licensing agreements, risks related to the pursuit of strategic alternatives, market and general economic factors, and the other risks discussed in Part I, Item 1A of our 2024 10-K Report, as updated and supplemented by Part II, Item 1A of this 10-Q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primarily collecting royalties from our licensees. We are no longer engaged in research and development or commercial operations. On December 30, 2022 (the “Closing Date”), we completed a transaction (the “Mayne Transaction”) with Mayne Pharma LLC, a Delaware limited liability company (“Mayne Pharma”) and subsidiary of Mayne Pharma Group Limited, an Australian public company (“Mayne Pharma Group”), pursuant to which we (i) granted Mayne Pharma an exclusive license to commercialize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 Pursuant to the Mayne License Agreement, Mayne Pharma will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will pay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will pay us minimum annual royalties of $3.0 million per year for 12 years, adjusted for inflation at an annual rate of 3%, subject to certain further adjustments, including as described below (the “Minimum Annual Royalty”).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Transaction Agreement, dated December 4, 2022, between TherapeuticsMD and Mayne Pharma (the “Transaction Agreement”), we sold to Mayne Pharma, at closing, certain assets for Mayne Pharma to commercialize the Products in the United States, including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us for the purchase of the Transferred Assets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for the assumed obligations under a long-term services agreement, including our minimum payment obligations thereunder. As the parties agreed, during the second quarter of 2023, Mayne Parma held back our royalty payment of $0.6 million and we funded an additional $0.9 million in August 2023 to settle the original $1.5 million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condensed consolidated financial statements. Liabilities associated with the commercial business are classified as liabilities of discontinued operations in our consolidated balance sheets. See Note 2 – Discontinued Operations to the condensed consolidated financial statements included in this Quarterly Report on Form 10-Q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license agreements with strategic partners to commercialize IMVEXXY and BIJUVA outside of the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July 2018, we entered into the “Knight License Agreement” with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September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tc>
      </w:tr>
    </w:tbl>
    <w:p>
      <w:pPr>
        <w:pStyle w:val="TextBody"/>
        <w:bidi w:val="0"/>
        <w:spacing w:before="0" w:after="0"/>
        <w:ind w:left="0" w:right="0" w:hanging="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68"/>
        <w:gridCol w:w="200"/>
        <w:gridCol w:w="98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 variety of strategic alternatives that may include, but not be limited to, an acquisition, merger, other business combination, sale of assets, or other strategic transactions. Although we are exploring potential strategic alternatives, there can be no assurance of a transaction, a successful outcome of these efforts, or the form or timing of any such outcome. We have not set a timetable for completion of this exploration process and do not intend to disclose further developments unless and until required by applicable laws or regulations or as otherwise deemed appropriate by our Board of Directors or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with Mayne Pharma, our primary source of revenue is from royalties on products licensed to pharmaceutical organizations that possess commercial capabilities in the relevant territories. We may need to raise additional capital to provide additional liquidity to fund our operations until we become cash flow positive.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in separate drawdowns at our election. On June 29, 2023, we issued and sold 312,525 shares of Common Stock at a price per share equal to $3.6797 pursuant to the Subscription Agreement. We received gross proceeds of $1.15 million from the draw down, before expenses. On November 15, 2023, Rubric drew down an additional 877,192 shares of Common Stock at a price per share equal to $2.2761. We received gross proceeds of $2.0 million from the drawdown, before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paid us approximately $12.1 million at closing on December 30, 2022, for the acquisition of net working capital, subject to certain adjustments as determined in accordance with the Transaction Agreement. While the Transaction Agreement calls for much of the net working capital to be trued-up shortly after the Closing Date in 2023, for a period of one year following the Closing Date in the case of payer rebates and wholesale distributor fees and two years following the Closing Date in the case for allowance for returns, net working capital amounts will be adjusted to arrive at final net working capital under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revised certain accrual estimates including increasing our working capital adjustment accrual from $3.5 million to $5.5 million for amounts anticipated to be owed under the Transaction Agreement. In December 2023, we made a $5.5 million payment to Mayne Pharma to settle certain working capital amounts that were required to be trued-up shortly after the Closing Date, excluding the allowance for returns, allowance for payer rebates, and allowance for wholesale distributor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of the allowance for payer rebates and wholesale distributor fees was determined in accordance with the Transaction Agreement which establishes the process for the determination of net working capital. 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a lawsuit against us in the United States District Court for the District of Delaware (the “Mayne Countersuit” and, together with the Mayne Lawsuit, the “Mayne Lawsuits”) seeking damages for breach of contract and fraudulent inducement related to the Transaction Agreement. On July 28, 2025, we filed a motion to dismiss the Mayne Countersuit. As of September 30,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has also made certain indemnification demands under the Transaction Agreement, which we dispute. As of September 30,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Licensed Products grow more slowly than expected or decline, including as a result of Mayne Pharma Group’s potential sale to Cosette Pharmaceuticals, Inc., if the net working capital settlement with Mayne Pharma under the Transaction Agreement is greater than our current estimates, if the outcome of the Mayne Lawsuits is worse than we anticipate,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 substantial doubt about our ability to continue as a going concern for the next twelve months from the issuance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of our royalty-bearing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changed our business to become a pharmaceutical royalty company, currently receiving royalties on products licensed to pharmaceutical organizations that possess commercial capabilities in the relevant territories. On December 30, 2022, we granted an exclusive license to commercialize IMVEXXY, BIJUVA, and prescription prenatal vitamin products sold under the BocaGreenMD and vitaMedMD brands and assigning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IMVEXXY (estradiol vaginal inserts), 4-µg and 10-µg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for the treatment of moderate-to-severe dyspareunia (vaginal pain associated with sexual activity), a symptom of vulvar and vaginal atrophy due to menopause.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IMVEXXY in the United States and its possessions and territories to Mayne Pharma. We also have entered into licensing agreements with third parties to market and sell IMVEXXY outside of the U.S. We entered into the Knight License Agreement, with Knight pursuant to which, we granted Knight an exclusive license to commercialize IMVEXXY in Canada and Israel. We entered into the Theramex License Agreement with Theramex pursuant to which we granted Theramex an exclusive license to commercialize IMVEXXY for human use outside of the U.S., except for Canada and Israel. In December 2024, we transferred the right to commercialize IMVEXXY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FDA’s approval of IMVEXXY, we committed to conduct a post-approval observational study to evaluate the risk of endometrial cancer in post-menopausal women with a uterus who use a low-dose vaginal estrogen unopposed by a progestogen.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also asked the sponsors of other vaginal estrogen products to participate in the observational study. In connection with the observational study, we would have been required to provide progress reports to the FDA on an annual basis. The obligation to conduct this study was transferred to Mayne Pharma as part of the Mayne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BIJUVA (estradiol and progesterone) capsules, 1 mg/100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the first and only FDA approved bioidentical hormone therapy combination of estradiol and progesterone in a single, oral capsule for the treatment of moderate-to-severe vasomotor symptoms (commonly known as hot flashes or flushes) due to menopause in women with a uterus.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BIJUVA in the United States and its possessions and territories to Mayne Pharma. We also have entered into the Knight License Agreement with Knight pursuant to which we granted Knight an exclusive license to commercialize BIJUVA in Canada and Israel. We have entered into the Theramex License Agreement with Theramex pursuant to which we granted Theramex an exclusive license to commercialize BIJUVA for human use outside of the U.S., except for Canada and Israel. In December 2024, we transferred the right to commercialize BIJUVA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ANNOVERA (segesterone acetate (“SA”) and ethinyl estradiol (“EE”) vaginal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a one-year ring-shaped contraceptive vaginal system (“CVS”) and the first and only patient-controlled, procedure-free, reversible prescription contraceptive that can prevent pregnancy for up to a total of 13 cycles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assigned our exclusive license to commercialize ANNOVERA in the United States and its possessions and territories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Prenatal vitamin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in the United States and its possessions and territories, our prescription prenatal vitamin product lines under our vitaMedMD brand name and authorized generic formulations of some of our prescription prenatal vitamin products under our BocaGreenMD Prenatal name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condensed consolidated financial statements for all periods prior to the Closing Date. Liabilities associated with the commercial business are classified as liabilities of discontinued operations in our condensed consolidated balance sheets. Additional disclosures regarding discontinued operations are provided in Note 2 to the condensed consolidated financial statements included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and the revenues and expenses discussed below, are based on, and relate to, our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September 30, 2025 compared with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results of our operations (in thousands):</w:t>
      </w:r>
    </w:p>
    <w:p>
      <w:pPr>
        <w:pStyle w:val="TextBody"/>
        <w:bidi w:val="0"/>
        <w:spacing w:before="0" w:after="0"/>
        <w:ind w:left="0" w:right="0" w:hanging="0"/>
        <w:jc w:val="left"/>
        <w:rPr>
          <w:caps w:val="false"/>
          <w:smallCaps w:val="false"/>
        </w:rPr>
      </w:pPr>
      <w:r>
        <w:rPr>
          <w:caps w:val="false"/>
          <w:smallCaps w:val="false"/>
        </w:rPr>
        <w:t> </w:t>
      </w:r>
    </w:p>
    <w:tbl>
      <w:tblPr>
        <w:tblW w:w="8412" w:type="dxa"/>
        <w:jc w:val="left"/>
        <w:tblInd w:w="0" w:type="dxa"/>
        <w:tblLayout w:type="fixed"/>
        <w:tblCellMar>
          <w:top w:w="0" w:type="dxa"/>
          <w:left w:w="0" w:type="dxa"/>
          <w:bottom w:w="0" w:type="dxa"/>
          <w:right w:w="0" w:type="dxa"/>
        </w:tblCellMar>
      </w:tblPr>
      <w:tblGrid>
        <w:gridCol w:w="6095"/>
        <w:gridCol w:w="90"/>
        <w:gridCol w:w="193"/>
        <w:gridCol w:w="671"/>
        <w:gridCol w:w="142"/>
        <w:gridCol w:w="102"/>
        <w:gridCol w:w="193"/>
        <w:gridCol w:w="756"/>
        <w:gridCol w:w="170"/>
      </w:tblGrid>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7"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September 30,</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6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864" w:type="dxa"/>
            <w:gridSpan w:val="2"/>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License revenue</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671" w:type="dxa"/>
            <w:tcBorders/>
            <w:shd w:fill="CCEEFF" w:val="clear"/>
            <w:vAlign w:val="center"/>
          </w:tcPr>
          <w:p>
            <w:pPr>
              <w:pStyle w:val="TableContents"/>
              <w:bidi w:val="0"/>
              <w:spacing w:before="0" w:after="283"/>
              <w:jc w:val="right"/>
              <w:rPr/>
            </w:pPr>
            <w:r>
              <w:rPr/>
              <w:t>784</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56" w:type="dxa"/>
            <w:tcBorders/>
            <w:shd w:fill="CCEEFF" w:val="clear"/>
            <w:vAlign w:val="center"/>
          </w:tcPr>
          <w:p>
            <w:pPr>
              <w:pStyle w:val="TableContents"/>
              <w:bidi w:val="0"/>
              <w:spacing w:before="0" w:after="283"/>
              <w:jc w:val="right"/>
              <w:rPr/>
            </w:pPr>
            <w:r>
              <w:rPr/>
              <w:t>547</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1,518</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1,585</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Write-off of patents</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right"/>
              <w:rPr/>
            </w:pPr>
            <w:r>
              <w:rPr/>
              <w:t>32</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1" w:type="dxa"/>
            <w:tcBorders>
              <w:bottom w:val="single" w:sz="12" w:space="0" w:color="000000"/>
            </w:tcBorders>
            <w:shd w:fill="CCEEFF" w:val="clear"/>
            <w:tcMar>
              <w:bottom w:w="28" w:type="dxa"/>
            </w:tcMar>
            <w:vAlign w:val="center"/>
          </w:tcPr>
          <w:p>
            <w:pPr>
              <w:pStyle w:val="TableContents"/>
              <w:bidi w:val="0"/>
              <w:spacing w:before="0" w:after="283"/>
              <w:jc w:val="right"/>
              <w:rPr/>
            </w:pPr>
            <w:r>
              <w:rPr/>
              <w:t>96</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96</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71" w:type="dxa"/>
            <w:tcBorders>
              <w:bottom w:val="single" w:sz="12" w:space="0" w:color="000000"/>
            </w:tcBorders>
            <w:tcMar>
              <w:bottom w:w="28" w:type="dxa"/>
            </w:tcMar>
            <w:vAlign w:val="center"/>
          </w:tcPr>
          <w:p>
            <w:pPr>
              <w:pStyle w:val="TableContents"/>
              <w:bidi w:val="0"/>
              <w:spacing w:before="0" w:after="283"/>
              <w:jc w:val="right"/>
              <w:rPr/>
            </w:pPr>
            <w:r>
              <w:rPr/>
              <w:t>1,646</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right"/>
              <w:rPr/>
            </w:pPr>
            <w:r>
              <w:rPr/>
              <w:t>1,681</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1" w:type="dxa"/>
            <w:tcBorders>
              <w:bottom w:val="single" w:sz="12" w:space="0" w:color="000000"/>
            </w:tcBorders>
            <w:shd w:fill="CCEEFF" w:val="clear"/>
            <w:tcMar>
              <w:bottom w:w="28" w:type="dxa"/>
            </w:tcMar>
            <w:vAlign w:val="center"/>
          </w:tcPr>
          <w:p>
            <w:pPr>
              <w:pStyle w:val="TableContents"/>
              <w:bidi w:val="0"/>
              <w:spacing w:before="0" w:after="283"/>
              <w:jc w:val="right"/>
              <w:rPr/>
            </w:pPr>
            <w:r>
              <w:rPr/>
              <w:t>(862</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(1,134</w:t>
            </w:r>
          </w:p>
        </w:tc>
        <w:tc>
          <w:tcPr>
            <w:tcW w:w="170" w:type="dxa"/>
            <w:tcBorders/>
            <w:shd w:fill="CCEEFF" w:val="clear"/>
            <w:vAlign w:val="center"/>
          </w:tcPr>
          <w:p>
            <w:pPr>
              <w:pStyle w:val="TableContents"/>
              <w:bidi w:val="0"/>
              <w:spacing w:before="0" w:after="283"/>
              <w:jc w:val="left"/>
              <w:rPr/>
            </w:pPr>
            <w:r>
              <w:rPr/>
              <w:t>)</w:t>
            </w:r>
          </w:p>
        </w:tc>
      </w:tr>
      <w:tr>
        <w:trPr/>
        <w:tc>
          <w:tcPr>
            <w:tcW w:w="6095" w:type="dxa"/>
            <w:tcBorders/>
            <w:vAlign w:val="center"/>
          </w:tcPr>
          <w:p>
            <w:pPr>
              <w:pStyle w:val="TableContents"/>
              <w:bidi w:val="0"/>
              <w:spacing w:before="0" w:after="283"/>
              <w:jc w:val="left"/>
              <w:rPr/>
            </w:pPr>
            <w:r>
              <w:rPr/>
              <w:t>Other income (expense)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Interest expense and other financing costs</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(3</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w:t>
            </w:r>
          </w:p>
        </w:tc>
      </w:tr>
      <w:tr>
        <w:trPr/>
        <w:tc>
          <w:tcPr>
            <w:tcW w:w="6095" w:type="dxa"/>
            <w:tcBorders/>
            <w:vAlign w:val="center"/>
          </w:tcPr>
          <w:p>
            <w:pPr>
              <w:pStyle w:val="TableContents"/>
              <w:bidi w:val="0"/>
              <w:spacing w:before="0" w:after="283"/>
              <w:jc w:val="left"/>
              <w:rPr/>
            </w:pPr>
            <w:r>
              <w:rPr/>
              <w:t>Sublease income</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right"/>
              <w:rPr/>
            </w:pPr>
            <w:r>
              <w:rPr/>
              <w:t>534</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275</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Miscellaneous income</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1" w:type="dxa"/>
            <w:tcBorders>
              <w:bottom w:val="single" w:sz="12" w:space="0" w:color="000000"/>
            </w:tcBorders>
            <w:shd w:fill="CCEEFF" w:val="clear"/>
            <w:tcMar>
              <w:bottom w:w="28" w:type="dxa"/>
            </w:tcMar>
            <w:vAlign w:val="center"/>
          </w:tcPr>
          <w:p>
            <w:pPr>
              <w:pStyle w:val="TableContents"/>
              <w:bidi w:val="0"/>
              <w:spacing w:before="0" w:after="283"/>
              <w:jc w:val="right"/>
              <w:rPr/>
            </w:pPr>
            <w:r>
              <w:rPr/>
              <w:t>381</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pPr>
            <w:r>
              <w:rPr/>
              <w:t>295</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Total other income, net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71" w:type="dxa"/>
            <w:tcBorders>
              <w:bottom w:val="single" w:sz="12" w:space="0" w:color="000000"/>
            </w:tcBorders>
            <w:tcMar>
              <w:bottom w:w="28" w:type="dxa"/>
            </w:tcMar>
            <w:vAlign w:val="center"/>
          </w:tcPr>
          <w:p>
            <w:pPr>
              <w:pStyle w:val="TableContents"/>
              <w:bidi w:val="0"/>
              <w:spacing w:before="0" w:after="283"/>
              <w:jc w:val="right"/>
              <w:rPr/>
            </w:pPr>
            <w:r>
              <w:rPr/>
              <w:t>912</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right"/>
              <w:rPr/>
            </w:pPr>
            <w:r>
              <w:rPr/>
              <w:t>567</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Income (loss)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50</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(567</w:t>
            </w:r>
          </w:p>
        </w:tc>
        <w:tc>
          <w:tcPr>
            <w:tcW w:w="170" w:type="dxa"/>
            <w:tcBorders/>
            <w:shd w:fill="CCEEFF" w:val="clear"/>
            <w:vAlign w:val="center"/>
          </w:tcPr>
          <w:p>
            <w:pPr>
              <w:pStyle w:val="TableContents"/>
              <w:bidi w:val="0"/>
              <w:spacing w:before="0" w:after="283"/>
              <w:jc w:val="left"/>
              <w:rPr/>
            </w:pPr>
            <w:r>
              <w:rPr/>
              <w:t>)</w:t>
            </w:r>
          </w:p>
        </w:tc>
      </w:tr>
      <w:tr>
        <w:trPr/>
        <w:tc>
          <w:tcPr>
            <w:tcW w:w="6095"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71" w:type="dxa"/>
            <w:tcBorders>
              <w:bottom w:val="single" w:sz="12" w:space="0" w:color="000000"/>
            </w:tcBorders>
            <w:tcMar>
              <w:bottom w:w="28" w:type="dxa"/>
            </w:tcMar>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Income (loss) from continuing operations, net of income taxes</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50</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(567</w:t>
            </w:r>
          </w:p>
        </w:tc>
        <w:tc>
          <w:tcPr>
            <w:tcW w:w="170" w:type="dxa"/>
            <w:tcBorders/>
            <w:shd w:fill="CCEEFF" w:val="clear"/>
            <w:vAlign w:val="center"/>
          </w:tcPr>
          <w:p>
            <w:pPr>
              <w:pStyle w:val="TableContents"/>
              <w:bidi w:val="0"/>
              <w:spacing w:before="0" w:after="283"/>
              <w:jc w:val="left"/>
              <w:rPr/>
            </w:pPr>
            <w:r>
              <w:rPr/>
              <w:t>)</w:t>
            </w:r>
          </w:p>
        </w:tc>
      </w:tr>
      <w:tr>
        <w:trPr/>
        <w:tc>
          <w:tcPr>
            <w:tcW w:w="6095" w:type="dxa"/>
            <w:tcBorders/>
            <w:vAlign w:val="center"/>
          </w:tcPr>
          <w:p>
            <w:pPr>
              <w:pStyle w:val="TableContents"/>
              <w:bidi w:val="0"/>
              <w:spacing w:before="0" w:after="283"/>
              <w:jc w:val="left"/>
              <w:rPr/>
            </w:pPr>
            <w:r>
              <w:rPr/>
              <w:t>Income (loss) from discontinued operations, net of income taxes</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71" w:type="dxa"/>
            <w:tcBorders>
              <w:bottom w:val="single" w:sz="12" w:space="0" w:color="000000"/>
            </w:tcBorders>
            <w:tcMar>
              <w:bottom w:w="28" w:type="dxa"/>
            </w:tcMar>
            <w:vAlign w:val="center"/>
          </w:tcPr>
          <w:p>
            <w:pPr>
              <w:pStyle w:val="TableContents"/>
              <w:bidi w:val="0"/>
              <w:spacing w:before="0" w:after="283"/>
              <w:jc w:val="right"/>
              <w:rPr/>
            </w:pPr>
            <w:r>
              <w:rPr/>
              <w:t>102</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tcMar>
              <w:bottom w:w="28" w:type="dxa"/>
            </w:tcMar>
            <w:vAlign w:val="center"/>
          </w:tcPr>
          <w:p>
            <w:pPr>
              <w:pStyle w:val="TableContents"/>
              <w:bidi w:val="0"/>
              <w:spacing w:before="0" w:after="283"/>
              <w:jc w:val="right"/>
              <w:rPr/>
            </w:pPr>
            <w:r>
              <w:rPr/>
              <w:t>(42</w:t>
            </w:r>
          </w:p>
        </w:tc>
        <w:tc>
          <w:tcPr>
            <w:tcW w:w="170" w:type="dxa"/>
            <w:tcBorders/>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1" w:type="dxa"/>
            <w:tcBorders>
              <w:bottom w:val="double" w:sz="10" w:space="0" w:color="000000"/>
            </w:tcBorders>
            <w:shd w:fill="CCEEFF" w:val="clear"/>
            <w:tcMar>
              <w:bottom w:w="28" w:type="dxa"/>
            </w:tcMar>
            <w:vAlign w:val="center"/>
          </w:tcPr>
          <w:p>
            <w:pPr>
              <w:pStyle w:val="TableContents"/>
              <w:bidi w:val="0"/>
              <w:spacing w:before="0" w:after="283"/>
              <w:jc w:val="right"/>
              <w:rPr/>
            </w:pPr>
            <w:r>
              <w:rPr/>
              <w:t>152</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6" w:type="dxa"/>
            <w:tcBorders>
              <w:bottom w:val="double" w:sz="10" w:space="0" w:color="000000"/>
            </w:tcBorders>
            <w:shd w:fill="CCEEFF" w:val="clear"/>
            <w:tcMar>
              <w:bottom w:w="28" w:type="dxa"/>
            </w:tcMar>
            <w:vAlign w:val="center"/>
          </w:tcPr>
          <w:p>
            <w:pPr>
              <w:pStyle w:val="TableContents"/>
              <w:bidi w:val="0"/>
              <w:spacing w:before="0" w:after="283"/>
              <w:jc w:val="right"/>
              <w:rPr/>
            </w:pPr>
            <w:r>
              <w:rPr/>
              <w:t>(609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 </w:t>
      </w:r>
      <w:r>
        <w:rPr>
          <w:rFonts w:ascii="Times New Roman;Times;Serif" w:hAnsi="Times New Roman;Times;Serif"/>
          <w:b w:val="false"/>
          <w:i w:val="false"/>
          <w:caps w:val="false"/>
          <w:smallCaps w:val="false"/>
          <w:sz w:val="20"/>
        </w:rPr>
        <w:t>We recorded $784 thousand in license revenue for the third quarter of 2025, primarily from the Mayne License Agreement, an increase of $237 thousand, compared to $547 thousand in license revenue for the third quarter of 2024. The increase is attributable to changes in sales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were $1,518 thousand for the third quarter of 2025, a decrease of $67 thousand, reflecting minimal change from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Depreciation and amortization. </w:t>
      </w:r>
      <w:r>
        <w:rPr>
          <w:rFonts w:ascii="Times New Roman;Times;Serif" w:hAnsi="Times New Roman;Times;Serif"/>
          <w:b w:val="false"/>
          <w:i w:val="false"/>
          <w:caps w:val="false"/>
          <w:smallCaps w:val="false"/>
          <w:sz w:val="20"/>
        </w:rPr>
        <w:t>Depreciation and amortization expense was $96 thousand for the third quarter of 2025, consistent to the third quarter of 2024. This balance is entirely comprised of amortization of license rights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expenses</w:t>
      </w:r>
      <w:r>
        <w:rPr>
          <w:rFonts w:ascii="Times New Roman;Times;Serif" w:hAnsi="Times New Roman;Times;Serif"/>
          <w:b w:val="false"/>
          <w:i w:val="false"/>
          <w:caps w:val="false"/>
          <w:smallCaps w:val="false"/>
          <w:sz w:val="20"/>
        </w:rPr>
        <w:t>. Total operating expenses for the third quarter of 2025 were $1,646 thousand, a decrease of $35 thousand, reflecting minimal change from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from operations.</w:t>
      </w:r>
      <w:r>
        <w:rPr>
          <w:rFonts w:ascii="Times New Roman;Times;Serif" w:hAnsi="Times New Roman;Times;Serif"/>
          <w:b w:val="false"/>
          <w:i w:val="false"/>
          <w:caps w:val="false"/>
          <w:smallCaps w:val="false"/>
          <w:sz w:val="20"/>
        </w:rPr>
        <w:t xml:space="preserve"> In the third quarter of 2025, we had a loss from operations of $862 thousand, as compared to a loss from operations of $1,134 thousand for the third quarter of 2024. This change reflects the increase in license revenues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 net.</w:t>
      </w:r>
      <w:r>
        <w:rPr>
          <w:rFonts w:ascii="Times New Roman;Times;Serif" w:hAnsi="Times New Roman;Times;Serif"/>
          <w:b w:val="false"/>
          <w:i w:val="false"/>
          <w:caps w:val="false"/>
          <w:smallCaps w:val="false"/>
          <w:sz w:val="20"/>
        </w:rPr>
        <w:t xml:space="preserve"> During the third quarter of 2025, we had other income of $912 thousand compared to other income of $567 thousand in the third quarter of 2024, reflecting an increase in sublease income and higher other income pertaining to Mayne’s royalty sales of ANNOVERA in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(loss) from continuing operations</w:t>
      </w:r>
      <w:r>
        <w:rPr>
          <w:rFonts w:ascii="Times New Roman;Times;Serif" w:hAnsi="Times New Roman;Times;Serif"/>
          <w:b w:val="false"/>
          <w:i w:val="false"/>
          <w:caps w:val="false"/>
          <w:smallCaps w:val="false"/>
          <w:sz w:val="20"/>
        </w:rPr>
        <w:t>. For the third quarter of 2025, we had net income of $50 thousand, compared to a net loss of $567 thousand for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xml:space="preserve"> – Income from discontinued operations was $102 thousand for the third quarter of 2025, compared to a loss from discontinued operations of $42 thousand for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Note 2 - Discontinued Operations, in the notes to the condensed consolidated financial statements appearing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September 30, 2025 compared with nine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results of our operations (in thousands):</w:t>
      </w:r>
    </w:p>
    <w:p>
      <w:pPr>
        <w:pStyle w:val="TextBody"/>
        <w:bidi w:val="0"/>
        <w:spacing w:before="0" w:after="0"/>
        <w:ind w:left="0" w:right="0" w:hanging="0"/>
        <w:jc w:val="center"/>
        <w:rPr>
          <w:caps w:val="false"/>
          <w:smallCaps w:val="false"/>
        </w:rPr>
      </w:pPr>
      <w:r>
        <w:rPr>
          <w:caps w:val="false"/>
          <w:smallCaps w:val="false"/>
        </w:rPr>
        <w:t> </w:t>
      </w:r>
    </w:p>
    <w:tbl>
      <w:tblPr>
        <w:tblW w:w="8321" w:type="dxa"/>
        <w:jc w:val="left"/>
        <w:tblInd w:w="0" w:type="dxa"/>
        <w:tblLayout w:type="fixed"/>
        <w:tblCellMar>
          <w:top w:w="0" w:type="dxa"/>
          <w:left w:w="0" w:type="dxa"/>
          <w:bottom w:w="0" w:type="dxa"/>
          <w:right w:w="0" w:type="dxa"/>
        </w:tblCellMar>
      </w:tblPr>
      <w:tblGrid>
        <w:gridCol w:w="6095"/>
        <w:gridCol w:w="90"/>
        <w:gridCol w:w="177"/>
        <w:gridCol w:w="694"/>
        <w:gridCol w:w="130"/>
        <w:gridCol w:w="94"/>
        <w:gridCol w:w="177"/>
        <w:gridCol w:w="694"/>
        <w:gridCol w:w="170"/>
      </w:tblGrid>
      <w:tr>
        <w:trPr/>
        <w:tc>
          <w:tcPr>
            <w:tcW w:w="6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pPr>
            <w:r>
              <w:rPr/>
              <w:t>Nine Months Ended</w:t>
              <w:br/>
              <w:t>September 30,</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License revenue</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2,129</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1,094</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4,560</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4,884</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Impairment of long-lived assets (Note 4)</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1,261</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Write-off of patents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120</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283"/>
              <w:jc w:val="right"/>
              <w:rPr/>
            </w:pPr>
            <w:r>
              <w:rPr/>
              <w:t>287</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283"/>
              <w:jc w:val="right"/>
              <w:rPr/>
            </w:pPr>
            <w:r>
              <w:rPr/>
              <w:t>409</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4,967</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6,554</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283"/>
              <w:jc w:val="right"/>
              <w:rPr/>
            </w:pPr>
            <w:r>
              <w:rPr/>
              <w:t>(2,838</w:t>
            </w:r>
          </w:p>
        </w:tc>
        <w:tc>
          <w:tcPr>
            <w:tcW w:w="130"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283"/>
              <w:jc w:val="right"/>
              <w:rPr/>
            </w:pPr>
            <w:r>
              <w:rPr/>
              <w:t>(5,460</w:t>
            </w:r>
          </w:p>
        </w:tc>
        <w:tc>
          <w:tcPr>
            <w:tcW w:w="170" w:type="dxa"/>
            <w:tcBorders/>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Other income (expense)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Interest expense and other financing costs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(7</w:t>
            </w:r>
          </w:p>
        </w:tc>
        <w:tc>
          <w:tcPr>
            <w:tcW w:w="130"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Sublease income</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1,320</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1,019</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Miscellaneous income</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283"/>
              <w:jc w:val="right"/>
              <w:rPr/>
            </w:pPr>
            <w:r>
              <w:rPr/>
              <w:t>1,452</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tcMar>
              <w:bottom w:w="28" w:type="dxa"/>
            </w:tcMar>
            <w:vAlign w:val="center"/>
          </w:tcPr>
          <w:p>
            <w:pPr>
              <w:pStyle w:val="TableContents"/>
              <w:bidi w:val="0"/>
              <w:spacing w:before="0" w:after="283"/>
              <w:jc w:val="right"/>
              <w:rPr/>
            </w:pPr>
            <w:r>
              <w:rPr/>
              <w:t>2,023</w:t>
            </w:r>
          </w:p>
        </w:tc>
        <w:tc>
          <w:tcPr>
            <w:tcW w:w="170"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2,765</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3,034</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Loss from continuing operations before income taxes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(73</w:t>
            </w:r>
          </w:p>
        </w:tc>
        <w:tc>
          <w:tcPr>
            <w:tcW w:w="130"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(2,426</w:t>
            </w:r>
          </w:p>
        </w:tc>
        <w:tc>
          <w:tcPr>
            <w:tcW w:w="170" w:type="dxa"/>
            <w:tcBorders/>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Income tax benefit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Loss from continuing operations, net of income taxes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(41</w:t>
            </w:r>
          </w:p>
        </w:tc>
        <w:tc>
          <w:tcPr>
            <w:tcW w:w="130"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(2,426</w:t>
            </w:r>
          </w:p>
        </w:tc>
        <w:tc>
          <w:tcPr>
            <w:tcW w:w="170" w:type="dxa"/>
            <w:tcBorders/>
            <w:vAlign w:val="center"/>
          </w:tcPr>
          <w:p>
            <w:pPr>
              <w:pStyle w:val="TableContents"/>
              <w:bidi w:val="0"/>
              <w:spacing w:before="0" w:after="283"/>
              <w:jc w:val="left"/>
              <w:rPr/>
            </w:pPr>
            <w:r>
              <w:rPr/>
              <w:t>)</w:t>
            </w:r>
          </w:p>
        </w:tc>
      </w:tr>
      <w:tr>
        <w:trPr/>
        <w:tc>
          <w:tcPr>
            <w:tcW w:w="6095" w:type="dxa"/>
            <w:tcBorders/>
            <w:shd w:fill="CCEEFF" w:val="clear"/>
            <w:vAlign w:val="center"/>
          </w:tcPr>
          <w:p>
            <w:pPr>
              <w:pStyle w:val="TableContents"/>
              <w:bidi w:val="0"/>
              <w:spacing w:before="0" w:after="283"/>
              <w:jc w:val="left"/>
              <w:rPr/>
            </w:pPr>
            <w:r>
              <w:rPr/>
              <w:t>Income (loss) from discontinued operations, net of income taxes</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91</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jc w:val="left"/>
              <w:rPr/>
            </w:pPr>
            <w:r>
              <w:rPr/>
              <w:t>)</w:t>
            </w:r>
          </w:p>
        </w:tc>
      </w:tr>
      <w:tr>
        <w:trPr/>
        <w:tc>
          <w:tcPr>
            <w:tcW w:w="6095" w:type="dxa"/>
            <w:tcBorders/>
            <w:vAlign w:val="center"/>
          </w:tcPr>
          <w:p>
            <w:pPr>
              <w:pStyle w:val="TableContents"/>
              <w:bidi w:val="0"/>
              <w:spacing w:before="0" w:after="283"/>
              <w:jc w:val="left"/>
              <w:rPr/>
            </w:pPr>
            <w:r>
              <w:rPr/>
              <w:t>Net Income (loss)</w:t>
            </w:r>
          </w:p>
        </w:tc>
        <w:tc>
          <w:tcPr>
            <w:tcW w:w="90" w:type="dxa"/>
            <w:tcBorders/>
            <w:vAlign w:val="center"/>
          </w:tcPr>
          <w:p>
            <w:pPr>
              <w:pStyle w:val="TableContents"/>
              <w:bidi w:val="0"/>
              <w:spacing w:before="0" w:after="283"/>
              <w:jc w:val="left"/>
              <w:rPr/>
            </w:pPr>
            <w:r>
              <w:rPr/>
              <w:t> </w:t>
            </w:r>
          </w:p>
        </w:tc>
        <w:tc>
          <w:tcPr>
            <w:tcW w:w="177" w:type="dxa"/>
            <w:tcBorders>
              <w:bottom w:val="double" w:sz="12" w:space="0" w:color="000000"/>
            </w:tcBorders>
            <w:tcMar>
              <w:bottom w:w="28" w:type="dxa"/>
            </w:tcMar>
            <w:vAlign w:val="center"/>
          </w:tcPr>
          <w:p>
            <w:pPr>
              <w:pStyle w:val="TableContents"/>
              <w:bidi w:val="0"/>
              <w:spacing w:before="0" w:after="283"/>
              <w:jc w:val="left"/>
              <w:rPr/>
            </w:pPr>
            <w:r>
              <w:rPr/>
              <w:t>$</w:t>
            </w:r>
          </w:p>
        </w:tc>
        <w:tc>
          <w:tcPr>
            <w:tcW w:w="694" w:type="dxa"/>
            <w:tcBorders>
              <w:bottom w:val="double" w:sz="12" w:space="0" w:color="000000"/>
            </w:tcBorders>
            <w:tcMar>
              <w:bottom w:w="28" w:type="dxa"/>
            </w:tcMar>
            <w:vAlign w:val="center"/>
          </w:tcPr>
          <w:p>
            <w:pPr>
              <w:pStyle w:val="TableContents"/>
              <w:bidi w:val="0"/>
              <w:spacing w:before="0" w:after="283"/>
              <w:jc w:val="right"/>
              <w:rPr/>
            </w:pPr>
            <w:r>
              <w:rPr/>
              <w:t>50</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bottom w:val="double" w:sz="12" w:space="0" w:color="000000"/>
            </w:tcBorders>
            <w:tcMar>
              <w:bottom w:w="28" w:type="dxa"/>
            </w:tcMar>
            <w:vAlign w:val="center"/>
          </w:tcPr>
          <w:p>
            <w:pPr>
              <w:pStyle w:val="TableContents"/>
              <w:bidi w:val="0"/>
              <w:spacing w:before="0" w:after="283"/>
              <w:jc w:val="left"/>
              <w:rPr/>
            </w:pPr>
            <w:r>
              <w:rPr/>
              <w:t>$</w:t>
            </w:r>
          </w:p>
        </w:tc>
        <w:tc>
          <w:tcPr>
            <w:tcW w:w="694" w:type="dxa"/>
            <w:tcBorders>
              <w:bottom w:val="double" w:sz="12" w:space="0" w:color="000000"/>
            </w:tcBorders>
            <w:tcMar>
              <w:bottom w:w="28" w:type="dxa"/>
            </w:tcMar>
            <w:vAlign w:val="center"/>
          </w:tcPr>
          <w:p>
            <w:pPr>
              <w:pStyle w:val="TableContents"/>
              <w:bidi w:val="0"/>
              <w:spacing w:before="0" w:after="283"/>
              <w:jc w:val="right"/>
              <w:rPr/>
            </w:pPr>
            <w:r>
              <w:rPr/>
              <w:t>(2,433</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 </w:t>
      </w:r>
      <w:r>
        <w:rPr>
          <w:rFonts w:ascii="Times New Roman;Times;Serif" w:hAnsi="Times New Roman;Times;Serif"/>
          <w:b w:val="false"/>
          <w:i w:val="false"/>
          <w:caps w:val="false"/>
          <w:smallCaps w:val="false"/>
          <w:sz w:val="20"/>
        </w:rPr>
        <w:t>We recorded $2,129 thousand in license revenue for the first nine months of 2025, primarily from the Mayne License Agreement, an increase of $1,035 thousand, compared to $1,094 thousand in license revenue for the first nine months of 2024. The increase is attributable to changes in sales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w:t>
      </w:r>
      <w:r>
        <w:rPr>
          <w:rFonts w:ascii="Times New Roman;Times;Serif" w:hAnsi="Times New Roman;Times;Serif"/>
          <w:b w:val="false"/>
          <w:i w:val="false"/>
          <w:caps w:val="false"/>
          <w:smallCaps w:val="false"/>
          <w:sz w:val="20"/>
        </w:rPr>
        <w:t xml:space="preserve"> General and administrative expenses were $4,560 thousand for the first nine months of 2025, a decrease of $324 thousand. The change is primarily due to the final vesting of outstanding restricted stock units under our share-based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Depreciation and amortization. </w:t>
      </w:r>
      <w:r>
        <w:rPr>
          <w:rFonts w:ascii="Times New Roman;Times;Serif" w:hAnsi="Times New Roman;Times;Serif"/>
          <w:b w:val="false"/>
          <w:i w:val="false"/>
          <w:caps w:val="false"/>
          <w:smallCaps w:val="false"/>
          <w:sz w:val="20"/>
        </w:rPr>
        <w:t>Depreciation and amortization expense was $287 thousand for the first nine months of 2025, a decrease of $122 thousand. This balance is entirely comprised of amortization of license rights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expenses</w:t>
      </w:r>
      <w:r>
        <w:rPr>
          <w:rFonts w:ascii="Times New Roman;Times;Serif" w:hAnsi="Times New Roman;Times;Serif"/>
          <w:b w:val="false"/>
          <w:i w:val="false"/>
          <w:caps w:val="false"/>
          <w:smallCaps w:val="false"/>
          <w:sz w:val="20"/>
        </w:rPr>
        <w:t>. Total operating expenses for the first nine months of 2025 were $4,967 thousand, a decrease of $1,587 thousand. The change is primarily due to the impairment recognized in 2024 and the final vesting of outstanding restricted stock units under our share-based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from operations.</w:t>
      </w:r>
      <w:r>
        <w:rPr>
          <w:rFonts w:ascii="Times New Roman;Times;Serif" w:hAnsi="Times New Roman;Times;Serif"/>
          <w:b w:val="false"/>
          <w:i w:val="false"/>
          <w:caps w:val="false"/>
          <w:smallCaps w:val="false"/>
          <w:sz w:val="20"/>
        </w:rPr>
        <w:t xml:space="preserve"> In the first nine months of 2025, we had a loss from operations of $2,838 thousand, as compared to a loss from operations of $5,460 thousand for the first nine months of 2024. This change reflects the increase in license revenues in 2025 and the absence of the impairment recognized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 net.</w:t>
      </w:r>
      <w:r>
        <w:rPr>
          <w:rFonts w:ascii="Times New Roman;Times;Serif" w:hAnsi="Times New Roman;Times;Serif"/>
          <w:b w:val="false"/>
          <w:i w:val="false"/>
          <w:caps w:val="false"/>
          <w:smallCaps w:val="false"/>
          <w:sz w:val="20"/>
        </w:rPr>
        <w:t xml:space="preserve"> During the first nine months of 2025, we had other income of $2,765 thousand compared to other income of $3,034 thousand in the first nine months of 2024. This change is primarily due to higher other income pertaining to Mayne’s royalty sales of ANNOVERA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tax benefit</w:t>
      </w:r>
      <w:r>
        <w:rPr>
          <w:rFonts w:ascii="Times New Roman;Times;Serif" w:hAnsi="Times New Roman;Times;Serif"/>
          <w:b w:val="false"/>
          <w:i w:val="false"/>
          <w:caps w:val="false"/>
          <w:smallCaps w:val="false"/>
          <w:sz w:val="20"/>
        </w:rPr>
        <w:t>. During the first nine months of 2025, we recorded income tax benefit of $32 thousand for continuing operations, which is a result of refunds received from certain state tax filings. During the first nine months of 2024, we recorded no benefit for income taxes for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from continuing operations</w:t>
      </w:r>
      <w:r>
        <w:rPr>
          <w:rFonts w:ascii="Times New Roman;Times;Serif" w:hAnsi="Times New Roman;Times;Serif"/>
          <w:b w:val="false"/>
          <w:i w:val="false"/>
          <w:caps w:val="false"/>
          <w:smallCaps w:val="false"/>
          <w:sz w:val="20"/>
        </w:rPr>
        <w:t>. For the first nine months of 2025, we had a loss of $73 thousand compared to a loss of $2,426 thousand for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xml:space="preserve"> –Income from discontinued operations was $91 thousand for the first nine months of 2025, compared to a loss from discontinued operations of $7 thousand for the first nine months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Note 2 - Discontinued Operations, in the notes to the condensed consolidated financial statements appearing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our continued operations. We have funded our operations primarily through public offerings of our common stock and private placements of equity and debt securities, and the transactions with Mayne Pharma. As of September 30, 2025, we had cash and cash equivalents totaling $7,115 thousand. We maintain cash at financial institutions that at times may exceed the Federal Deposit Insurance Corporation insured limits of $250 thousand per bank. We have never experienced any losses related to these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Mayne Pharma License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Mayne Pharma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 The total consideration from Mayne Pharma to us under the Mayne License Agreement consisted of (i) a cash payment of $140.0 million at closing, (ii) a cash payment of approximately $12.1 million at closing for the acquisition of net working capital as determined in accordance with the transaction agreement dated December 4, 2022, and subject to certain adjustments, (iii) a cash payment of approximately $1.0 million at closing for prepaid royalties in connection with the Mayne License Agreement Amendment and (iv) the right to receive the contingent consideration set forth in the Mayne License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Mayne Pharma will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will pay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will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Subscription Agreement with Rubric Capital Management 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the Subscription Agreement with Rubric, pursuant to which we agreed to sell to Rubric, or one or more of its affiliates, up to an aggregate of 5,000,000 shares of Common Stock, from time to time during the term of the Subscription Agreement in separate drawdowns at our election, at a purchase price of the five-day volume-weighted average price of our common stock at the time of the sale of such shares, at an aggregate purchase price of up to $5,000,000 (collectively,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drawdown occurred on June 29, 2023 consisting of a sale of 312,525 shares of Common Stock at a price per share equal to $3.6797. We received gross proceeds of $1.15 million from the drawdown, before expenses. On November 15, 2023 Rubric drew down an additional 877,192 shares of Common Stock at a price per share equal to $2.2761. We received gross proceeds of $2.0 million from the drawdown, before expenses. There were no drawdowns in the first nine months of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“Going Concern” above for further discussion related to our ability to generate and obtain adequate amounts of cash to meet our liquidity needs and our plans to satisfy our such needs in the short-term and in the long-term. As a result, there is substantial doubt about our ability to continue as a going concern for the next twelve months from the issuance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major categories of cash flows for each of the periods (in thousands).</w:t>
      </w:r>
    </w:p>
    <w:p>
      <w:pPr>
        <w:pStyle w:val="TextBody"/>
        <w:bidi w:val="0"/>
        <w:spacing w:before="0" w:after="0"/>
        <w:ind w:left="0" w:right="0" w:hanging="0"/>
        <w:jc w:val="left"/>
        <w:rPr>
          <w:caps w:val="false"/>
          <w:smallCaps w:val="false"/>
        </w:rPr>
      </w:pPr>
      <w:r>
        <w:rPr>
          <w:caps w:val="false"/>
          <w:smallCaps w:val="false"/>
        </w:rPr>
        <w:t>  </w:t>
      </w:r>
    </w:p>
    <w:tbl>
      <w:tblPr>
        <w:tblW w:w="7212" w:type="dxa"/>
        <w:jc w:val="left"/>
        <w:tblInd w:w="0" w:type="dxa"/>
        <w:tblLayout w:type="fixed"/>
        <w:tblCellMar>
          <w:top w:w="0" w:type="dxa"/>
          <w:left w:w="0" w:type="dxa"/>
          <w:bottom w:w="0" w:type="dxa"/>
          <w:right w:w="0" w:type="dxa"/>
        </w:tblCellMar>
      </w:tblPr>
      <w:tblGrid>
        <w:gridCol w:w="4985"/>
        <w:gridCol w:w="90"/>
        <w:gridCol w:w="193"/>
        <w:gridCol w:w="669"/>
        <w:gridCol w:w="141"/>
        <w:gridCol w:w="102"/>
        <w:gridCol w:w="193"/>
        <w:gridCol w:w="669"/>
        <w:gridCol w:w="170"/>
      </w:tblGrid>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center"/>
          </w:tcPr>
          <w:p>
            <w:pPr>
              <w:pStyle w:val="TableContents"/>
              <w:bidi w:val="0"/>
              <w:spacing w:before="0" w:after="283"/>
              <w:jc w:val="center"/>
              <w:rPr/>
            </w:pPr>
            <w:r>
              <w:rPr/>
              <w:t>Nine Months Ended</w:t>
              <w:br/>
              <w:t>September 30,</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4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Net cash provided by continuing operating activities</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669" w:type="dxa"/>
            <w:tcBorders/>
            <w:shd w:fill="CCEEFF" w:val="clear"/>
            <w:vAlign w:val="center"/>
          </w:tcPr>
          <w:p>
            <w:pPr>
              <w:pStyle w:val="TableContents"/>
              <w:bidi w:val="0"/>
              <w:spacing w:before="0" w:after="283"/>
              <w:jc w:val="right"/>
              <w:rPr/>
            </w:pPr>
            <w:r>
              <w:rPr/>
              <w:t>2,079</w:t>
            </w:r>
          </w:p>
        </w:tc>
        <w:tc>
          <w:tcPr>
            <w:tcW w:w="14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669" w:type="dxa"/>
            <w:tcBorders/>
            <w:shd w:fill="CCEEFF" w:val="clear"/>
            <w:vAlign w:val="center"/>
          </w:tcPr>
          <w:p>
            <w:pPr>
              <w:pStyle w:val="TableContents"/>
              <w:bidi w:val="0"/>
              <w:spacing w:before="0" w:after="283"/>
              <w:jc w:val="right"/>
              <w:rPr/>
            </w:pPr>
            <w:r>
              <w:rPr/>
              <w:t>1,153</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Net cash used in discontinued operations</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tcMar>
              <w:bottom w:w="28" w:type="dxa"/>
            </w:tcMar>
            <w:vAlign w:val="center"/>
          </w:tcPr>
          <w:p>
            <w:pPr>
              <w:pStyle w:val="TableContents"/>
              <w:bidi w:val="0"/>
              <w:spacing w:before="0" w:after="283"/>
              <w:jc w:val="right"/>
              <w:rPr/>
            </w:pPr>
            <w:r>
              <w:rPr/>
              <w:t>(23</w:t>
            </w:r>
          </w:p>
        </w:tc>
        <w:tc>
          <w:tcPr>
            <w:tcW w:w="141"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tcMar>
              <w:bottom w:w="28" w:type="dxa"/>
            </w:tcMar>
            <w:vAlign w:val="center"/>
          </w:tcPr>
          <w:p>
            <w:pPr>
              <w:pStyle w:val="TableContents"/>
              <w:bidi w:val="0"/>
              <w:spacing w:before="0" w:after="283"/>
              <w:jc w:val="right"/>
              <w:rPr/>
            </w:pPr>
            <w:r>
              <w:rPr/>
              <w:t>(433</w:t>
            </w:r>
          </w:p>
        </w:tc>
        <w:tc>
          <w:tcPr>
            <w:tcW w:w="170" w:type="dxa"/>
            <w:tcBorders/>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Net increase in cash</w:t>
            </w:r>
          </w:p>
        </w:tc>
        <w:tc>
          <w:tcPr>
            <w:tcW w:w="9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9" w:type="dxa"/>
            <w:tcBorders>
              <w:bottom w:val="double" w:sz="10" w:space="0" w:color="000000"/>
            </w:tcBorders>
            <w:shd w:fill="CCEEFF" w:val="clear"/>
            <w:tcMar>
              <w:bottom w:w="28" w:type="dxa"/>
            </w:tcMar>
            <w:vAlign w:val="center"/>
          </w:tcPr>
          <w:p>
            <w:pPr>
              <w:pStyle w:val="TableContents"/>
              <w:bidi w:val="0"/>
              <w:spacing w:before="0" w:after="283"/>
              <w:jc w:val="right"/>
              <w:rPr/>
            </w:pPr>
            <w:r>
              <w:rPr/>
              <w:t>2,056</w:t>
            </w:r>
          </w:p>
        </w:tc>
        <w:tc>
          <w:tcPr>
            <w:tcW w:w="14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9" w:type="dxa"/>
            <w:tcBorders>
              <w:bottom w:val="double" w:sz="10" w:space="0" w:color="000000"/>
            </w:tcBorders>
            <w:shd w:fill="CCEEFF" w:val="clear"/>
            <w:tcMar>
              <w:bottom w:w="28" w:type="dxa"/>
            </w:tcMar>
            <w:vAlign w:val="center"/>
          </w:tcPr>
          <w:p>
            <w:pPr>
              <w:pStyle w:val="TableContents"/>
              <w:bidi w:val="0"/>
              <w:spacing w:before="0" w:after="283"/>
              <w:jc w:val="right"/>
              <w:rPr/>
            </w:pPr>
            <w:r>
              <w:rPr/>
              <w:t>720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Activities from continuing operations</w:t>
      </w:r>
      <w:r>
        <w:rPr>
          <w:rFonts w:ascii="Times New Roman;Times;Serif" w:hAnsi="Times New Roman;Times;Serif"/>
          <w:b w:val="false"/>
          <w:i w:val="false"/>
          <w:caps w:val="false"/>
          <w:smallCaps w:val="false"/>
          <w:sz w:val="20"/>
        </w:rPr>
        <w:t>. For the first nine months of 2025, net cash provided by operating activities was $2,079 thousand, compared to net cash provided by operating activities of $1,153 thousand for the first nine months of 2024. The increase was primarily driven by the significant reduction in loss from continuing operations and favorable changes in accrued expenses and other current liabilities, partially offset by lower non-cash adjustments such as decreased amortization and the absence of long-lived asset impairment charges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cash used in discontinued operations</w:t>
      </w:r>
      <w:r>
        <w:rPr>
          <w:rFonts w:ascii="Times New Roman;Times;Serif" w:hAnsi="Times New Roman;Times;Serif"/>
          <w:b w:val="false"/>
          <w:i w:val="false"/>
          <w:caps w:val="false"/>
          <w:smallCaps w:val="false"/>
          <w:sz w:val="20"/>
        </w:rPr>
        <w:t>. Net cash used in discontinued operations for the first nine months of 2025 was $23 thousand as compared to net cash used in operating activities from discontinued operations of $433 thousand for the first nine months of 2024. This change relates primarily to a decreased level of activities associated with our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see the condensed consolidated statements of cash flows in Item 1, Financial Statements, appearing elsewhere in this 10-Q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liquidity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Receivable from Mayne Pharma</w:t>
      </w:r>
      <w:r>
        <w:rPr>
          <w:rFonts w:ascii="Times New Roman;Times;Serif" w:hAnsi="Times New Roman;Times;Serif"/>
          <w:b w:val="false"/>
          <w:i w:val="false"/>
          <w:caps w:val="false"/>
          <w:smallCaps w:val="false"/>
          <w:sz w:val="20"/>
        </w:rPr>
        <w:t>. On December 30, 2022, Mayne Pharma acquired our accounts receivable balance of approximately $29.3 million which is subject to certain working capital adjustments. As of September 30, 2025, we had a royalty receivable of $3,164 thousand relating to the short-term portion of royalty receivable from Mayne Pharma and $14,269 thousand relating to the long-term portion of royalty receivable which includes royalties recognized from the Minimum Annual Royalty. See “Note 1 Business, basis of presentation, new accounting standards and summary of significant accounting policies (Revenue Recognition)” to the consolidated financial statements included in our 2024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Contractual obligations, off-balance sheet arrangements and purchase commitments and employment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obligations and off-balance sheet arrangements are set forth below. For additional information on any of the following and other obligations and arrangements, see “Note 6. Commitments and Contingencies” to the condensed consolidated financial statements included in this 10-Q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enter into agreements with third parties that include indemnification provisions, which, in our judgment, are normal and customary for companies in our industry sector. Pursuant to these agreements, we agree to indemnify, hold harmless, and reimburse indemnified parties for losses suffered, for which there may or may not be limitations on potential damages. The maximum potential amount of future payments we could be required to make under these indemnification provisions is sometimes unlimited. As a result, the estimated fair value of liabilities relating to these provisions is minimal. Accordingly, we had no liabilities recorded for these provisions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may be confronted with issues or events that may result in contingent liability. These generally relate to lawsuits, claims, environmental actions, or the actions of various regulatory agencies. We consult with counsel and other appropriate experts to assess the claim. If, in our opinion, we have incurred a probable loss and the amount of the loss can be reasonably estimated, as set forth by accounting principles generally accepted in the United States of America (“U.S. GAAP”), an estimate is made of the loss and the appropriate accounting entries are reflected in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accounting policies and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our financial condition and results of operations are based upon our condensed consolidated financial statements included elsewhere in this 10-Q Report, which has been prepared in accordance with U.S. GAAP and SEC rules and regulations related to interim financial reporting. We make estimates and assumptions that affect the reported amounts on our condensed consolidated financial statements and accompanying notes as of the date of the condensed consolidated financial statements. The critical accounting policies and estimates used are disclosed in Item 7 – Management’s discussion and analysis of financial condition and results of operations – Critical accounting policies and estimates in our 2024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Item 3. 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12b-2 of the Securities Exchange Act of 1934, as amended (the “Exchange Act”), and pursuant to Instruction 6 to Item 201(e) of Regulation S-K, we are not required to provide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Item 4.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Management’s 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designed to ensure that information required to be disclosed in the reports filed or submitted under the Securities Exchange Act of 1934, as amended (the “Exchange Act”), is recorded, processed, summarized and reported, within the time period specified in the SEC’s rules and forms and is accumulated and communicated to our management, including our Chief Executive Officer and Principal Financial and Accounting Officer, as appropriate, in order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evaluated the effectiveness of our disclosure controls and procedures (as defined in Rules 13a-15(e) and 15d-15(e) under the Exchange Act) as of the end of the period covered by this 10-Q Report. Based on that evaluation, our Chief Executive Officer concluded that our disclosure controls and procedures as of the end of the period covered by this 10-Q Report were effective in providing reasonable assurance that information required to be disclosed by us in reports that we file or submit under the Exchange Act is (i) recorded, processed, summarized and reported within the time periods specified in the SEC’s rules and forms and (ii) accumulated and communicated to our management, including our Chief Executive Officer and Principal Financial and Accounting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internal controls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our internal control over financial reporting during our most recent fiscal quarter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Part II -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litigation and proceedings in the ordinary course of our business. Other than the legal proceedings disclosed in Note 6, Commitments and contingencies in Part I, Item 1, Financial Statements, appearing elsewhere in this 10-Q Report, we are not involved in any legal proceeding that we believe would have a material effect on our business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condition and operating results can be affected by a number of factors, whether currently known or unknown, including but not limited to those described in Part I, Item 1A of the 2024 10-K Report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Except as set forth below, there have been no material changes to our risk factors since the 2024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results of operations and financial position could be affected by our ongoing disputes with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Mayne Pharma are disputing the allowance calculation for payer rebates and wholesale distributor fees pursuant to the Mayne Transaction Agreement. This dispute commenced in February 2024 after Mayne Pharma provided us with calculations that significantly differed from our estimates. We are also disputing the allowance for returns as Mayne Pharma’s calculations significantly differ from our estimates. 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a lawsuit against us in the United States District Court for the District of Delaware (the “Mayne Countersuit” and, together with the Mayne Lawsuit, the “Mayne Lawsuits”) seeking damages for breach of contract and fraudulent inducement related to the Transaction Agreement. On July 28, 2025, we filed a motion to dismiss the Mayne Countersuit. The outcome of the disputes is uncertain and can lead to unforeseen losses. These ongoing disputes may adversely affect our revenue, results of operations and financial position and therefore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 xml:space="preserve">Item 2. 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 xml:space="preserve">Item 3. 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 xml:space="preserve">Item 4. Mine safety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 xml:space="preserve">Item 5. 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none of our directors or officers adopted or terminated any Rule 10b5-1 trading arrangement or non-Rule 10b5-1 trading arrangement (as such terms are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 xml:space="preserve">Item 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85"/>
        <w:gridCol w:w="90"/>
        <w:gridCol w:w="9230"/>
      </w:tblGrid>
      <w:tr>
        <w:trPr/>
        <w:tc>
          <w:tcPr>
            <w:tcW w:w="8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23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85" w:type="dxa"/>
            <w:tcBorders/>
            <w:tcMar>
              <w:bottom w:w="0" w:type="dxa"/>
            </w:tcMar>
            <w:vAlign w:val="center"/>
          </w:tcPr>
          <w:p>
            <w:pPr>
              <w:pStyle w:val="TableContents"/>
              <w:bidi w:val="0"/>
              <w:spacing w:before="0" w:after="283"/>
              <w:jc w:val="left"/>
              <w:rPr/>
            </w:pPr>
            <w:r>
              <w:rPr/>
              <w:t> </w:t>
            </w:r>
          </w:p>
        </w:tc>
        <w:tc>
          <w:tcPr>
            <w:tcW w:w="9320" w:type="dxa"/>
            <w:gridSpan w:val="2"/>
            <w:tcBorders/>
            <w:tcMar>
              <w:bottom w:w="0" w:type="dxa"/>
            </w:tcMar>
            <w:vAlign w:val="center"/>
          </w:tcPr>
          <w:p>
            <w:pPr>
              <w:pStyle w:val="TableContents"/>
              <w:bidi w:val="0"/>
              <w:spacing w:before="0" w:after="283"/>
              <w:jc w:val="left"/>
              <w:rPr/>
            </w:pPr>
            <w:r>
              <w:rPr/>
              <w:t> </w:t>
            </w:r>
          </w:p>
        </w:tc>
      </w:tr>
      <w:tr>
        <w:trPr/>
        <w:tc>
          <w:tcPr>
            <w:tcW w:w="8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pPr>
            <w:hyperlink w:anchor="ea026221801ex31-1_therape.htm">
              <w:r>
                <w:rPr>
                  <w:rStyle w:val="InternetLink"/>
                  <w:rFonts w:ascii="Times New Roman;Times;Serif" w:hAnsi="Times New Roman;Times;Serif"/>
                  <w:sz w:val="20"/>
                </w:rPr>
                <w:t>Certification of Chief Executive Officer pursuant to Rule 13a-14(a) and Rule 15d-14(a)</w:t>
              </w:r>
            </w:hyperlink>
          </w:p>
        </w:tc>
      </w:tr>
      <w:tr>
        <w:trPr/>
        <w:tc>
          <w:tcPr>
            <w:tcW w:w="885" w:type="dxa"/>
            <w:tcBorders/>
            <w:tcMar>
              <w:bottom w:w="0" w:type="dxa"/>
            </w:tcMar>
            <w:vAlign w:val="center"/>
          </w:tcPr>
          <w:p>
            <w:pPr>
              <w:pStyle w:val="TableContents"/>
              <w:bidi w:val="0"/>
              <w:spacing w:before="0" w:after="283"/>
              <w:jc w:val="left"/>
              <w:rPr/>
            </w:pPr>
            <w:r>
              <w:rPr/>
              <w:t> </w:t>
            </w:r>
          </w:p>
        </w:tc>
        <w:tc>
          <w:tcPr>
            <w:tcW w:w="9320" w:type="dxa"/>
            <w:gridSpan w:val="2"/>
            <w:tcBorders/>
            <w:tcMar>
              <w:bottom w:w="0" w:type="dxa"/>
            </w:tcMar>
            <w:vAlign w:val="center"/>
          </w:tcPr>
          <w:p>
            <w:pPr>
              <w:pStyle w:val="TableContents"/>
              <w:bidi w:val="0"/>
              <w:spacing w:before="0" w:after="283"/>
              <w:jc w:val="left"/>
              <w:rPr/>
            </w:pPr>
            <w:r>
              <w:rPr/>
              <w:t> </w:t>
            </w:r>
          </w:p>
        </w:tc>
      </w:tr>
      <w:tr>
        <w:trPr/>
        <w:tc>
          <w:tcPr>
            <w:tcW w:w="8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pPr>
            <w:hyperlink w:anchor="ea026221801ex31-2_therape.htm">
              <w:r>
                <w:rPr>
                  <w:rStyle w:val="InternetLink"/>
                  <w:rFonts w:ascii="Times New Roman;Times;Serif" w:hAnsi="Times New Roman;Times;Serif"/>
                  <w:sz w:val="20"/>
                </w:rPr>
                <w:t>Certification of Principal Financial Officer pursuant to Rule 13a-14(a) and Rule 15d-14(a)</w:t>
              </w:r>
            </w:hyperlink>
          </w:p>
        </w:tc>
      </w:tr>
      <w:tr>
        <w:trPr/>
        <w:tc>
          <w:tcPr>
            <w:tcW w:w="885" w:type="dxa"/>
            <w:tcBorders/>
            <w:tcMar>
              <w:bottom w:w="0" w:type="dxa"/>
            </w:tcMar>
            <w:vAlign w:val="center"/>
          </w:tcPr>
          <w:p>
            <w:pPr>
              <w:pStyle w:val="TableContents"/>
              <w:bidi w:val="0"/>
              <w:spacing w:before="0" w:after="283"/>
              <w:jc w:val="left"/>
              <w:rPr/>
            </w:pPr>
            <w:r>
              <w:rPr/>
              <w:t> </w:t>
            </w:r>
          </w:p>
        </w:tc>
        <w:tc>
          <w:tcPr>
            <w:tcW w:w="9320" w:type="dxa"/>
            <w:gridSpan w:val="2"/>
            <w:tcBorders/>
            <w:tcMar>
              <w:bottom w:w="0" w:type="dxa"/>
            </w:tcMar>
            <w:vAlign w:val="center"/>
          </w:tcPr>
          <w:p>
            <w:pPr>
              <w:pStyle w:val="TableContents"/>
              <w:bidi w:val="0"/>
              <w:spacing w:before="0" w:after="283"/>
              <w:jc w:val="left"/>
              <w:rPr/>
            </w:pPr>
            <w:r>
              <w:rPr/>
              <w:t> </w:t>
            </w:r>
          </w:p>
        </w:tc>
      </w:tr>
      <w:tr>
        <w:trPr/>
        <w:tc>
          <w:tcPr>
            <w:tcW w:w="8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pPr>
            <w:hyperlink w:anchor="ea026221801ex32-1_therape.htm">
              <w:r>
                <w:rPr>
                  <w:rStyle w:val="InternetLink"/>
                  <w:rFonts w:ascii="Times New Roman;Times;Serif" w:hAnsi="Times New Roman;Times;Serif"/>
                  <w:sz w:val="20"/>
                </w:rPr>
                <w:t>Section 1350 Certification of Chief Executive Officer</w:t>
              </w:r>
            </w:hyperlink>
          </w:p>
        </w:tc>
      </w:tr>
      <w:tr>
        <w:trPr/>
        <w:tc>
          <w:tcPr>
            <w:tcW w:w="885" w:type="dxa"/>
            <w:tcBorders/>
            <w:tcMar>
              <w:bottom w:w="0" w:type="dxa"/>
            </w:tcMar>
            <w:vAlign w:val="center"/>
          </w:tcPr>
          <w:p>
            <w:pPr>
              <w:pStyle w:val="TableContents"/>
              <w:bidi w:val="0"/>
              <w:spacing w:before="0" w:after="283"/>
              <w:jc w:val="left"/>
              <w:rPr/>
            </w:pPr>
            <w:r>
              <w:rPr/>
              <w:t> </w:t>
            </w:r>
          </w:p>
        </w:tc>
        <w:tc>
          <w:tcPr>
            <w:tcW w:w="9320" w:type="dxa"/>
            <w:gridSpan w:val="2"/>
            <w:tcBorders/>
            <w:tcMar>
              <w:bottom w:w="0" w:type="dxa"/>
            </w:tcMar>
            <w:vAlign w:val="center"/>
          </w:tcPr>
          <w:p>
            <w:pPr>
              <w:pStyle w:val="TableContents"/>
              <w:bidi w:val="0"/>
              <w:spacing w:before="0" w:after="283"/>
              <w:jc w:val="left"/>
              <w:rPr/>
            </w:pPr>
            <w:r>
              <w:rPr/>
              <w:t> </w:t>
            </w:r>
          </w:p>
        </w:tc>
      </w:tr>
      <w:tr>
        <w:trPr/>
        <w:tc>
          <w:tcPr>
            <w:tcW w:w="8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pPr>
            <w:hyperlink w:anchor="ea026221801ex32-2_therape.htm">
              <w:r>
                <w:rPr>
                  <w:rStyle w:val="InternetLink"/>
                  <w:rFonts w:ascii="Times New Roman;Times;Serif" w:hAnsi="Times New Roman;Times;Serif"/>
                  <w:sz w:val="20"/>
                </w:rPr>
                <w:t>Section 1350 Certification of Principal Financial Officer</w:t>
              </w:r>
            </w:hyperlink>
          </w:p>
        </w:tc>
      </w:tr>
      <w:tr>
        <w:trPr/>
        <w:tc>
          <w:tcPr>
            <w:tcW w:w="885" w:type="dxa"/>
            <w:tcBorders/>
            <w:tcMar>
              <w:bottom w:w="0" w:type="dxa"/>
            </w:tcMar>
            <w:vAlign w:val="center"/>
          </w:tcPr>
          <w:p>
            <w:pPr>
              <w:pStyle w:val="TableContents"/>
              <w:bidi w:val="0"/>
              <w:spacing w:before="0" w:after="283"/>
              <w:jc w:val="left"/>
              <w:rPr/>
            </w:pPr>
            <w:r>
              <w:rPr/>
              <w:t> </w:t>
            </w:r>
          </w:p>
        </w:tc>
        <w:tc>
          <w:tcPr>
            <w:tcW w:w="9320" w:type="dxa"/>
            <w:gridSpan w:val="2"/>
            <w:tcBorders/>
            <w:tcMar>
              <w:bottom w:w="0" w:type="dxa"/>
            </w:tcMar>
            <w:vAlign w:val="center"/>
          </w:tcPr>
          <w:p>
            <w:pPr>
              <w:pStyle w:val="TableContents"/>
              <w:bidi w:val="0"/>
              <w:spacing w:before="0" w:after="283"/>
              <w:jc w:val="left"/>
              <w:rPr/>
            </w:pPr>
            <w:r>
              <w:rPr/>
              <w:t> </w:t>
            </w:r>
          </w:p>
        </w:tc>
      </w:tr>
      <w:tr>
        <w:trPr/>
        <w:tc>
          <w:tcPr>
            <w:tcW w:w="8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Document Set for the condensed consolidated financial statements and accompanying notes in Part I, Item 1, “Financial Statements” of this Quarterly Report on Form 10-Q</w:t>
            </w:r>
          </w:p>
        </w:tc>
      </w:tr>
      <w:tr>
        <w:trPr/>
        <w:tc>
          <w:tcPr>
            <w:tcW w:w="885" w:type="dxa"/>
            <w:tcBorders/>
            <w:tcMar>
              <w:bottom w:w="0" w:type="dxa"/>
            </w:tcMar>
            <w:vAlign w:val="center"/>
          </w:tcPr>
          <w:p>
            <w:pPr>
              <w:pStyle w:val="TableContents"/>
              <w:bidi w:val="0"/>
              <w:spacing w:before="0" w:after="283"/>
              <w:jc w:val="left"/>
              <w:rPr/>
            </w:pPr>
            <w:r>
              <w:rPr/>
              <w:t> </w:t>
            </w:r>
          </w:p>
        </w:tc>
        <w:tc>
          <w:tcPr>
            <w:tcW w:w="9320" w:type="dxa"/>
            <w:gridSpan w:val="2"/>
            <w:tcBorders/>
            <w:tcMar>
              <w:bottom w:w="0" w:type="dxa"/>
            </w:tcMar>
            <w:vAlign w:val="center"/>
          </w:tcPr>
          <w:p>
            <w:pPr>
              <w:pStyle w:val="TableContents"/>
              <w:bidi w:val="0"/>
              <w:spacing w:before="0" w:after="283"/>
              <w:jc w:val="left"/>
              <w:rPr/>
            </w:pPr>
            <w:r>
              <w:rPr/>
              <w:t> </w:t>
            </w:r>
          </w:p>
        </w:tc>
      </w:tr>
      <w:tr>
        <w:trPr/>
        <w:tc>
          <w:tcPr>
            <w:tcW w:w="8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Quarterly Report on Form 10-Q, included in the Exhibit 101 Inline XBRL Document Set</w:t>
            </w:r>
          </w:p>
        </w:tc>
      </w:tr>
    </w:tbl>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85"/>
        <w:gridCol w:w="1355"/>
      </w:tblGrid>
      <w:tr>
        <w:trPr/>
        <w:tc>
          <w:tcPr>
            <w:tcW w:w="185"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Filed herewith. </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05"/>
        <w:gridCol w:w="1745"/>
      </w:tblGrid>
      <w:tr>
        <w:trPr/>
        <w:tc>
          <w:tcPr>
            <w:tcW w:w="305"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Furnished herewith.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2150"/>
        <w:gridCol w:w="3590"/>
      </w:tblGrid>
      <w:tr>
        <w:trPr/>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12, 2025</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TherapeuticsMD, Inc.</w:t>
            </w:r>
          </w:p>
        </w:tc>
      </w:tr>
      <w:tr>
        <w:trPr/>
        <w:tc>
          <w:tcPr>
            <w:tcW w:w="215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35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r>
      <w:tr>
        <w:trPr/>
        <w:tc>
          <w:tcPr>
            <w:tcW w:w="215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r>
      <w:tr>
        <w:trPr/>
        <w:tc>
          <w:tcPr>
            <w:tcW w:w="215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Executive Officer)</w:t>
            </w:r>
          </w:p>
        </w:tc>
      </w:tr>
      <w:tr>
        <w:trPr/>
        <w:tc>
          <w:tcPr>
            <w:tcW w:w="215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35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Ziegler</w:t>
            </w:r>
          </w:p>
        </w:tc>
      </w:tr>
      <w:tr>
        <w:trPr/>
        <w:tc>
          <w:tcPr>
            <w:tcW w:w="215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r>
      <w:tr>
        <w:trPr/>
        <w:tc>
          <w:tcPr>
            <w:tcW w:w="215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6221801ex31-1_therape.htm"/>
      <w:bookmarkStart w:id="22" w:name="ksea026221801ex311_therape"/>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Marlan D. Walker, certify that:</w:t>
      </w:r>
    </w:p>
    <w:p>
      <w:pPr>
        <w:pStyle w:val="TextBody"/>
        <w:bidi w:val="0"/>
        <w:spacing w:before="0" w:after="0"/>
        <w:ind w:left="720" w:right="0" w:hanging="36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9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283"/>
              <w:jc w:val="both"/>
              <w:rPr/>
            </w:pPr>
            <w:r>
              <w:rPr/>
              <w:t>I have reviewed this quarterly report on Form 10-Q of TherapeuticsMD, Inc.;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12, 2025</w:t>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both"/>
              <w:rPr/>
            </w:pPr>
            <w:r>
              <w:rPr/>
              <w:t> </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Marlan D Walker</w:t>
            </w:r>
          </w:p>
        </w:tc>
      </w:tr>
      <w:tr>
        <w:trPr/>
        <w:tc>
          <w:tcPr>
            <w:tcW w:w="7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Marlan D. Walker</w:t>
            </w:r>
          </w:p>
        </w:tc>
      </w:tr>
      <w:tr>
        <w:trPr/>
        <w:tc>
          <w:tcPr>
            <w:tcW w:w="7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6221801ex31-2_therape.htm"/>
      <w:bookmarkStart w:id="24" w:name="ksea026221801ex312_therape"/>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Joseph Ziegler, certify that:</w:t>
      </w:r>
    </w:p>
    <w:p>
      <w:pPr>
        <w:pStyle w:val="TextBody"/>
        <w:bidi w:val="0"/>
        <w:spacing w:before="0" w:after="0"/>
        <w:ind w:left="720" w:right="0" w:hanging="36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9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283"/>
              <w:jc w:val="left"/>
              <w:rPr/>
            </w:pPr>
            <w:r>
              <w:rPr/>
              <w:t>I have reviewed this quarterly report on Form 10-Q of TherapeuticsMD, Inc.;</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6"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12, 2025</w:t>
      </w:r>
    </w:p>
    <w:p>
      <w:pPr>
        <w:pStyle w:val="TextBody"/>
        <w:bidi w:val="0"/>
        <w:spacing w:before="0" w:after="0"/>
        <w:ind w:left="0" w:right="0" w:hanging="0"/>
        <w:jc w:val="both"/>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both"/>
              <w:rPr/>
            </w:pPr>
            <w:r>
              <w:rPr/>
              <w:t> </w:t>
            </w:r>
          </w:p>
        </w:tc>
        <w:tc>
          <w:tcPr>
            <w:tcW w:w="21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Joseph Ziegler</w:t>
            </w:r>
          </w:p>
        </w:tc>
      </w:tr>
      <w:tr>
        <w:trPr/>
        <w:tc>
          <w:tcPr>
            <w:tcW w:w="7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Joseph Ziegler</w:t>
            </w:r>
          </w:p>
        </w:tc>
      </w:tr>
      <w:tr>
        <w:trPr/>
        <w:tc>
          <w:tcPr>
            <w:tcW w:w="7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6221801ex32-1_therape.htm"/>
      <w:bookmarkStart w:id="26" w:name="ksea026221801ex321_therape"/>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 of Chief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TherapeuticsMD, Inc. (the “Company”) on Form 10-Q for the quarterly period ended September 30, 2025 as filed with the Securities and Exchange Commission on the date hereof (the “Report”), I, Marlan D. Walker, Chief Executive Officer of the Company, certify, to my best knowledge and belief, pursuant to 18 U.S.C. § 1350, as adopted pursuant to § 906 of the Sarbanes-Oxley Act of 2002, that:</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283"/>
              <w:jc w:val="left"/>
              <w:rPr/>
            </w:pPr>
            <w:r>
              <w:rPr/>
              <w:t>The Report fully complies with the requirements of Section 13(a) or 15(d) of the Securities Exchange Act of 1934 (15 U.S.C. 78m(a) or 78o(d));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left"/>
              <w:rPr/>
            </w:pPr>
            <w:r>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12, 2025</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6221801ex32-2_therape.htm"/>
      <w:bookmarkStart w:id="28" w:name="ksea026221801ex322_therape"/>
      <w:bookmarkEnd w:id="27"/>
      <w:bookmarkEnd w:id="28"/>
      <w:r>
        <w:rPr>
          <w:rFonts w:ascii="Times New Roman;Times;Serif" w:hAnsi="Times New Roman;Times;Serif"/>
          <w:b/>
          <w:i w:val="false"/>
          <w:caps w:val="false"/>
          <w:smallCaps w:val="false"/>
          <w:sz w:val="20"/>
        </w:rPr>
        <w:t>Exhibit 32.2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 of Principal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TherapeuticsMD, Inc. (the “Company”) on Form 10-Q for the quarterly period ended September 30, 2025 as filed with the Securities and Exchange Commission on the date hereof (the “Report”), I, Joseph Ziegler, Principal Financial Officer of the Company, certify, to my best knowledge and belief, pursuant to 18 U.S.C. § 1350, as adopted pursuant to § 906 of the Sarbanes-Oxley Act of 2002, that:</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(1)</w:t>
            </w:r>
          </w:p>
        </w:tc>
        <w:tc>
          <w:tcPr>
            <w:tcW w:w="9903" w:type="dxa"/>
            <w:tcBorders/>
            <w:vAlign w:val="center"/>
          </w:tcPr>
          <w:p>
            <w:pPr>
              <w:pStyle w:val="TableContents"/>
              <w:bidi w:val="0"/>
              <w:spacing w:before="0" w:after="283"/>
              <w:jc w:val="left"/>
              <w:rPr/>
            </w:pPr>
            <w:r>
              <w:rPr/>
              <w:t>The Report fully complies with the requirements of Section 13(a) or 15(d) of the Securities Exchange Act of 1934 (15 U.S.C. 78m(a) or 78o(d));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left"/>
              <w:rPr/>
            </w:pPr>
            <w:r>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12, 2025</w:t>
        <w:tab/>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Ziegler</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18023</Words>
  <Characters>98687</Characters>
  <CharactersWithSpaces>117813</CharactersWithSpaces>
  <Paragraphs>4043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