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89776-8k_therapeu.htm"/>
      <w:bookmarkStart w:id="1" w:name="ksea02897768k_therapeu"/>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C_edei--DocumentType_c20260502__20"/>
      <w:bookmarkEnd w:id="2"/>
      <w:r>
        <w:rPr>
          <w:rFonts w:ascii="Times New Roman;Times;Serif" w:hAnsi="Times New Roman;Times;Serif"/>
          <w:b/>
          <w:i w:val="false"/>
          <w:caps w:val="false"/>
          <w:smallCaps w:val="false"/>
          <w:sz w:val="20"/>
        </w:rPr>
        <w:t>8-K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May 2,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B_edei--EntityRegistrantName_c2026"/>
      <w:bookmarkEnd w:id="4"/>
      <w:r>
        <w:rPr>
          <w:rFonts w:ascii="Times New Roman;Times;Serif" w:hAnsi="Times New Roman;Times;Serif"/>
          <w:b/>
          <w:i w:val="false"/>
          <w:caps w:val="false"/>
          <w:smallCaps w:val="false"/>
          <w:sz w:val="20"/>
        </w:rPr>
        <w:t>THERAPEUTICSMD,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345" w:type="dxa"/>
        <w:jc w:val="left"/>
        <w:tblInd w:w="0" w:type="dxa"/>
        <w:tblLayout w:type="fixed"/>
        <w:tblCellMar>
          <w:top w:w="0" w:type="dxa"/>
          <w:left w:w="0" w:type="dxa"/>
          <w:bottom w:w="28" w:type="dxa"/>
          <w:right w:w="0" w:type="dxa"/>
        </w:tblCellMar>
      </w:tblPr>
      <w:tblGrid>
        <w:gridCol w:w="2360"/>
        <w:gridCol w:w="60"/>
        <w:gridCol w:w="2300"/>
        <w:gridCol w:w="60"/>
        <w:gridCol w:w="1565"/>
      </w:tblGrid>
      <w:tr>
        <w:trPr/>
        <w:tc>
          <w:tcPr>
            <w:tcW w:w="236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5_edei--EntityIncorporationStateCo"/>
            <w:bookmarkEnd w:id="5"/>
            <w:r>
              <w:rPr>
                <w:rFonts w:ascii="Times New Roman;Times;Serif" w:hAnsi="Times New Roman;Times;Serif"/>
                <w:b/>
                <w:sz w:val="20"/>
              </w:rPr>
              <w:t>Nevada</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F_edei--EntityFileNumber_c20260502"/>
            <w:bookmarkEnd w:id="6"/>
            <w:r>
              <w:rPr>
                <w:rFonts w:ascii="Times New Roman;Times;Serif" w:hAnsi="Times New Roman;Times;Serif"/>
                <w:b/>
                <w:sz w:val="20"/>
              </w:rPr>
              <w:t>001-00100</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D_edei--EntityTaxIdentificationNum"/>
            <w:bookmarkEnd w:id="7"/>
            <w:r>
              <w:rPr>
                <w:rFonts w:ascii="Times New Roman;Times;Serif" w:hAnsi="Times New Roman;Times;Serif"/>
                <w:b/>
                <w:sz w:val="20"/>
              </w:rPr>
              <w:t>87-0233535</w:t>
            </w:r>
          </w:p>
        </w:tc>
      </w:tr>
      <w:tr>
        <w:trPr/>
        <w:tc>
          <w:tcPr>
            <w:tcW w:w="236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 xml:space="preserve">951 Yamato Road, </w:t>
      </w:r>
      <w:bookmarkStart w:id="9" w:name="xdx_90E_edei--EntityAddressAddressLine2_"/>
      <w:bookmarkEnd w:id="9"/>
      <w:r>
        <w:rPr>
          <w:rFonts w:ascii="Times New Roman;Times;Serif" w:hAnsi="Times New Roman;Times;Serif"/>
          <w:b/>
          <w:i w:val="false"/>
          <w:caps w:val="false"/>
          <w:smallCaps w:val="false"/>
          <w:sz w:val="20"/>
        </w:rPr>
        <w:t>Suite 220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3_edei--EntityAddressCityOrTown_c2"/>
      <w:bookmarkEnd w:id="10"/>
      <w:r>
        <w:rPr>
          <w:rFonts w:ascii="Times New Roman;Times;Serif" w:hAnsi="Times New Roman;Times;Serif"/>
          <w:b/>
          <w:i w:val="false"/>
          <w:caps w:val="false"/>
          <w:smallCaps w:val="false"/>
          <w:sz w:val="20"/>
        </w:rPr>
        <w:t xml:space="preserve">Boca Raton, </w:t>
      </w:r>
      <w:bookmarkStart w:id="11" w:name="xdx_90B_edei--EntityAddressStateOrProvin"/>
      <w:bookmarkEnd w:id="11"/>
      <w:r>
        <w:rPr>
          <w:rFonts w:ascii="Times New Roman;Times;Serif" w:hAnsi="Times New Roman;Times;Serif"/>
          <w:b/>
          <w:i w:val="false"/>
          <w:caps w:val="false"/>
          <w:smallCaps w:val="false"/>
          <w:sz w:val="20"/>
        </w:rPr>
        <w:t xml:space="preserve">FL </w:t>
      </w:r>
      <w:bookmarkStart w:id="12" w:name="xdx_90C_edei--EntityAddressPostalZipCode"/>
      <w:bookmarkEnd w:id="12"/>
      <w:r>
        <w:rPr>
          <w:rFonts w:ascii="Times New Roman;Times;Serif" w:hAnsi="Times New Roman;Times;Serif"/>
          <w:b/>
          <w:i w:val="false"/>
          <w:caps w:val="false"/>
          <w:smallCaps w:val="false"/>
          <w:sz w:val="20"/>
        </w:rPr>
        <w:t>33431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7_edei--CityAreaCode_c20260502__20"/>
      <w:bookmarkEnd w:id="13"/>
      <w:r>
        <w:rPr>
          <w:rFonts w:ascii="Times New Roman;Times;Serif" w:hAnsi="Times New Roman;Times;Serif"/>
          <w:b/>
          <w:i w:val="false"/>
          <w:caps w:val="false"/>
          <w:smallCaps w:val="false"/>
          <w:sz w:val="20"/>
        </w:rPr>
        <w:t xml:space="preserve">561) </w:t>
      </w:r>
      <w:bookmarkStart w:id="14" w:name="xdx_909_edei--LocalPhoneNumber_c20260502"/>
      <w:bookmarkEnd w:id="14"/>
      <w:r>
        <w:rPr>
          <w:rFonts w:ascii="Times New Roman;Times;Serif" w:hAnsi="Times New Roman;Times;Serif"/>
          <w:b/>
          <w:i w:val="false"/>
          <w:caps w:val="false"/>
          <w:smallCaps w:val="false"/>
          <w:sz w:val="20"/>
        </w:rPr>
        <w:t>961-1900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0_edei--WrittenCommunications_c202"/>
            <w:bookmarkEnd w:id="15"/>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5_edei--SolicitingMaterial_c202605"/>
            <w:bookmarkEnd w:id="16"/>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0_edei--PreCommencementTenderOffer"/>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D_edei--PreCommencementIssuerTende"/>
            <w:bookmarkEnd w:id="18"/>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55" w:type="dxa"/>
        <w:jc w:val="left"/>
        <w:tblInd w:w="0" w:type="dxa"/>
        <w:tblLayout w:type="fixed"/>
        <w:tblCellMar>
          <w:top w:w="0" w:type="dxa"/>
          <w:left w:w="0" w:type="dxa"/>
          <w:bottom w:w="28" w:type="dxa"/>
          <w:right w:w="0" w:type="dxa"/>
        </w:tblCellMar>
      </w:tblPr>
      <w:tblGrid>
        <w:gridCol w:w="3515"/>
        <w:gridCol w:w="60"/>
        <w:gridCol w:w="1415"/>
        <w:gridCol w:w="60"/>
        <w:gridCol w:w="3905"/>
      </w:tblGrid>
      <w:tr>
        <w:trPr/>
        <w:tc>
          <w:tcPr>
            <w:tcW w:w="35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90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3_edei--Security12bTitle_c20260502"/>
            <w:bookmarkEnd w:id="19"/>
            <w:r>
              <w:rPr>
                <w:rFonts w:ascii="Times New Roman;Times;Serif" w:hAnsi="Times New Roman;Times;Serif"/>
                <w:sz w:val="20"/>
              </w:rPr>
              <w:t>Common Stock, par value $0.001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C_edei--TradingSymbol_c20260502__2"/>
            <w:bookmarkEnd w:id="20"/>
            <w:r>
              <w:rPr>
                <w:rFonts w:ascii="Times New Roman;Times;Serif" w:hAnsi="Times New Roman;Times;Serif"/>
                <w:sz w:val="20"/>
              </w:rPr>
              <w:t>TXMD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w:t>
            </w:r>
            <w:bookmarkStart w:id="21" w:name="xdx_905_edei--SecurityExchangeName_c2026"/>
            <w:bookmarkEnd w:id="21"/>
            <w:r>
              <w:rPr>
                <w:rFonts w:ascii="Times New Roman;Times;Serif" w:hAnsi="Times New Roman;Times;Serif"/>
                <w:sz w:val="20"/>
              </w:rPr>
              <w:t xml:space="preserv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or Rule 12b-2 of the Securities Exchange Act of 1934 (§240.12b-2).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8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in Item 7.01 of this Current Report on Form 8-K is incorporated in this Item 2.02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2026, TherapeuticsMD, Inc., a Nevada corporation (the “Company”), issued a press release announcing its financial results for the quarter ended March 31, 2026. A copy of the press release is furnished as Exhibit 99.1 to this Current Report on Form 8-K and is incorporated herein by reference.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and the information contained in Exhibit 99.1 is furnished and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 regardless of any general incorporation language in the filing.</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and expressly disclaims, any obligation to release publicly any updates or any changes in its expectations or any change in events, conditions, or circumstances on which any forward-looking statement is based.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80"/>
        <w:gridCol w:w="60"/>
        <w:gridCol w:w="9165"/>
      </w:tblGrid>
      <w:tr>
        <w:trPr/>
        <w:tc>
          <w:tcPr>
            <w:tcW w:w="98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6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Description</w:t>
            </w:r>
          </w:p>
        </w:tc>
      </w:tr>
      <w:tr>
        <w:trPr/>
        <w:tc>
          <w:tcPr>
            <w:tcW w:w="980" w:type="dxa"/>
            <w:tcBorders/>
            <w:tcMar>
              <w:bottom w:w="0" w:type="dxa"/>
            </w:tcMar>
            <w:vAlign w:val="center"/>
          </w:tcPr>
          <w:p>
            <w:pPr>
              <w:pStyle w:val="TableContents"/>
              <w:bidi w:val="0"/>
              <w:spacing w:before="0" w:after="283"/>
              <w:jc w:val="left"/>
              <w:rPr/>
            </w:pPr>
            <w:r>
              <w:rPr/>
              <w:t> </w:t>
            </w:r>
          </w:p>
        </w:tc>
        <w:tc>
          <w:tcPr>
            <w:tcW w:w="9225" w:type="dxa"/>
            <w:gridSpan w:val="2"/>
            <w:tcBorders/>
            <w:tcMar>
              <w:bottom w:w="0" w:type="dxa"/>
            </w:tcMar>
            <w:vAlign w:val="center"/>
          </w:tcPr>
          <w:p>
            <w:pPr>
              <w:pStyle w:val="TableContents"/>
              <w:bidi w:val="0"/>
              <w:spacing w:before="0" w:after="283"/>
              <w:jc w:val="left"/>
              <w:rPr/>
            </w:pPr>
            <w:r>
              <w:rPr/>
              <w:t> </w:t>
            </w:r>
          </w:p>
        </w:tc>
      </w:tr>
      <w:tr>
        <w:trPr/>
        <w:tc>
          <w:tcPr>
            <w:tcW w:w="9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65" w:type="dxa"/>
            <w:tcBorders/>
            <w:shd w:fill="CCEEFF" w:val="clear"/>
            <w:tcMar>
              <w:bottom w:w="0" w:type="dxa"/>
            </w:tcMar>
            <w:vAlign w:val="center"/>
          </w:tcPr>
          <w:p>
            <w:pPr>
              <w:pStyle w:val="TableContents"/>
              <w:bidi w:val="0"/>
              <w:spacing w:before="0" w:after="283"/>
              <w:jc w:val="left"/>
              <w:rPr/>
            </w:pPr>
            <w:hyperlink w:anchor="ea028977601ex99-1.htm">
              <w:r>
                <w:rPr>
                  <w:rStyle w:val="InternetLink"/>
                  <w:rFonts w:ascii="Times New Roman;Times;Serif" w:hAnsi="Times New Roman;Times;Serif"/>
                  <w:sz w:val="20"/>
                </w:rPr>
                <w:t>Press Release from TherapeuticsMD, Inc., dated May 12,  2026, entitled “TherapeuticsMD Announces First Quarter 2026 Financial Results.”</w:t>
              </w:r>
            </w:hyperlink>
          </w:p>
        </w:tc>
      </w:tr>
      <w:tr>
        <w:trPr/>
        <w:tc>
          <w:tcPr>
            <w:tcW w:w="980" w:type="dxa"/>
            <w:tcBorders/>
            <w:shd w:fill="FFFFFF" w:val="clear"/>
            <w:tcMar>
              <w:bottom w:w="0" w:type="dxa"/>
            </w:tcMar>
            <w:vAlign w:val="center"/>
          </w:tcPr>
          <w:p>
            <w:pPr>
              <w:pStyle w:val="TableContents"/>
              <w:bidi w:val="0"/>
              <w:spacing w:before="0" w:after="283"/>
              <w:jc w:val="left"/>
              <w:rPr/>
            </w:pPr>
            <w:r>
              <w:rPr/>
              <w:t> </w:t>
            </w:r>
          </w:p>
        </w:tc>
        <w:tc>
          <w:tcPr>
            <w:tcW w:w="9225" w:type="dxa"/>
            <w:gridSpan w:val="2"/>
            <w:tcBorders/>
            <w:shd w:fill="FFFFFF" w:val="clear"/>
            <w:tcMar>
              <w:bottom w:w="0" w:type="dxa"/>
            </w:tcMar>
            <w:vAlign w:val="center"/>
          </w:tcPr>
          <w:p>
            <w:pPr>
              <w:pStyle w:val="TableContents"/>
              <w:bidi w:val="0"/>
              <w:spacing w:before="0" w:after="283"/>
              <w:jc w:val="left"/>
              <w:rPr/>
            </w:pPr>
            <w:r>
              <w:rPr/>
              <w:t> </w:t>
            </w:r>
          </w:p>
        </w:tc>
      </w:tr>
      <w:tr>
        <w:trPr/>
        <w:tc>
          <w:tcPr>
            <w:tcW w:w="9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(the cover page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1655"/>
        <w:gridCol w:w="2240"/>
      </w:tblGrid>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12, 2026</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THERAPEUTICSMD, INC.</w:t>
            </w:r>
          </w:p>
        </w:tc>
      </w:tr>
      <w:tr>
        <w:trPr/>
        <w:tc>
          <w:tcPr>
            <w:tcW w:w="165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22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Marlan Walker</w:t>
            </w:r>
          </w:p>
        </w:tc>
      </w:tr>
      <w:tr>
        <w:trPr/>
        <w:tc>
          <w:tcPr>
            <w:tcW w:w="165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Marlan Walker</w:t>
            </w:r>
          </w:p>
        </w:tc>
      </w:tr>
      <w:tr>
        <w:trPr/>
        <w:tc>
          <w:tcPr>
            <w:tcW w:w="165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bookmarkStart w:id="23" w:name="ea028977601ex99-1.htm"/>
      <w:bookmarkStart w:id="24" w:name="ksea028977601ex991"/>
      <w:bookmarkEnd w:id="23"/>
      <w:bookmarkEnd w:id="24"/>
      <w:r>
        <w:rPr>
          <w:rFonts w:ascii="Times New Roman;Times;Serif" w:hAnsi="Times New Roman;Times;Serif"/>
          <w:b/>
          <w:i w:val="false"/>
          <w:caps w:val="false"/>
          <w:smallCaps w:val="false"/>
          <w:sz w:val="20"/>
        </w:rPr>
        <w:t>Exhibit 99.1</w:t>
      </w:r>
      <w:r>
        <w:br w:type="page"/>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right"/>
        <w:rPr>
          <w:caps w:val="false"/>
          <w:smallCaps w:val="false"/>
        </w:rPr>
      </w:pPr>
      <w:r>
        <w:rPr>
          <w:caps w:val="false"/>
          <w:smallCaps w:val="false"/>
        </w:rPr>
        <w:drawing>
          <wp:inline distT="0" distB="0" distL="0" distR="0">
            <wp:extent cx="31432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43250" cy="457200"/>
                    </a:xfrm>
                    <a:prstGeom prst="rect">
                      <a:avLst/>
                    </a:prstGeom>
                  </pic:spPr>
                </pic:pic>
              </a:graphicData>
            </a:graphic>
          </wp:inline>
        </w:drawing>
      </w: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TherapeuticsMD Announces First Quarter 2026 Financial Results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BOCA RATON, Fla.--(BUSINESS WIRE)—May 12, 2026 -- TherapeuticsMD, Inc. (“TherapeuticsMD” or the “Company”) (NASDAQ: TXMD), a company that owns rights to pharmaceutical royalties, today reported financial results for the three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2026 Financial Results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 from Continuing Operations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income from continuing operations totaled $103 thousand, compared to a net loss of $636 thousand for the first quarter of 2025.</w:t>
            </w:r>
          </w:p>
        </w:tc>
      </w:tr>
    </w:tbl>
    <w:p>
      <w:pPr>
        <w:pStyle w:val="TextBody"/>
        <w:bidi w:val="0"/>
        <w:spacing w:before="0" w:after="0"/>
        <w:ind w:left="72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License Revenues from Continuing Operations</w:t>
      </w:r>
    </w:p>
    <w:p>
      <w:pPr>
        <w:pStyle w:val="TextBody"/>
        <w:shd w:fill="FFFFFF" w:val="clear"/>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 recorded $724 thousand in license revenue, primarily from the Mayne License Agreement, an increase of $331 thousand, compared to $393 thousand in license revenue for the first quarter of 2025. The increase is attributable to changes in sales of licensed products.</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 from Continuing Operations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operating expenses were $1,447 thousand, a decrease of $227 thousand, or 13.6%, compared to $1,674 thousand for the first quarter of 2025. The decrease is primarily attributable to the absence of write-off expense recognized in 2025, as well as lower professional fees and share-based compensation costs.</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Strategic Alternatives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Company continues to evaluate a variety of strategic alternatives that may include, but are not limited to, an acquisition, merger, other business combination, sale of assets, or other strategic transactions involving the Company. Although the Company is exploring potential strategic alternatives, there can be no assurance of a transaction, a successful outcome of these efforts, or the form or timing of any such outcome. The Company has not established a timetable for completion of this exploration process and does not intend to disclose further developments unless and until it is determined that disclosure is appropriate or necessary.</w:t>
            </w:r>
          </w:p>
        </w:tc>
      </w:tr>
    </w:tbl>
    <w:p>
      <w:pPr>
        <w:pStyle w:val="TextBody"/>
        <w:shd w:fill="FFFFFF" w:val="clear"/>
        <w:bidi w:val="0"/>
        <w:spacing w:before="0" w:after="0"/>
        <w:ind w:left="720" w:right="0" w:hanging="36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46"/>
        <w:gridCol w:w="208"/>
        <w:gridCol w:w="9951"/>
      </w:tblGrid>
      <w:tr>
        <w:trPr/>
        <w:tc>
          <w:tcPr>
            <w:tcW w:w="46" w:type="dxa"/>
            <w:tcBorders/>
            <w:shd w:fill="FFFFFF" w:val="clear"/>
            <w:vAlign w:val="center"/>
          </w:tcPr>
          <w:p>
            <w:pPr>
              <w:pStyle w:val="TableContents"/>
              <w:bidi w:val="0"/>
              <w:spacing w:before="0" w:after="283"/>
              <w:jc w:val="left"/>
              <w:rPr>
                <w:sz w:val="4"/>
                <w:szCs w:val="4"/>
              </w:rPr>
            </w:pPr>
            <w:r>
              <w:rPr>
                <w:sz w:val="4"/>
                <w:szCs w:val="4"/>
              </w:rPr>
            </w:r>
          </w:p>
        </w:tc>
        <w:tc>
          <w:tcPr>
            <w:tcW w:w="208" w:type="dxa"/>
            <w:tcBorders/>
            <w:shd w:fill="FFFFFF" w:val="clear"/>
            <w:vAlign w:val="center"/>
          </w:tcPr>
          <w:p>
            <w:pPr>
              <w:pStyle w:val="TableContents"/>
              <w:bidi w:val="0"/>
              <w:spacing w:before="0" w:after="283"/>
              <w:jc w:val="left"/>
              <w:rPr/>
            </w:pPr>
            <w:r>
              <w:rPr/>
              <w:t>●</w:t>
            </w:r>
          </w:p>
        </w:tc>
        <w:tc>
          <w:tcPr>
            <w:tcW w:w="99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of March 31, 2026, the Company’s cash and cash equivalents totaled $8.4 million.</w:t>
            </w:r>
          </w:p>
        </w:tc>
      </w:tr>
    </w:tbl>
    <w:p>
      <w:pPr>
        <w:pStyle w:val="TextBody"/>
        <w:shd w:fill="FFFFFF" w:val="clear"/>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shd w:fill="FFFFFF" w:val="clear"/>
        <w:bidi w:val="0"/>
        <w:spacing w:before="0" w:after="0"/>
        <w:ind w:left="720" w:right="0" w:hanging="36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TherapeuticsMD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TherapeuticsMD was previously a women’s healthcare company with a mission of creating and commercializing innovative products to support the lifespan of women from pregnancy prevention through menopause. In December 2022, the Company changed its business to become a pharmaceutical royalty company, primarily collecting royalties from its licensees. The Company is no longer engaging in research and development or commercial operations.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Forward-Looking Statements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by TherapeuticsMD, Inc. may contain forward-looking statements. Forward-looking statements may include, but are not limited to, statements relating to TherapeuticsMD’s objectives, plans and strategies, including the exploration of potential strategic alternatives that may include, but are not limited to, an acquisition, merger, other business combination, sale of assets, or other strategic transactions, and the completion of such a review process and the potential timing, outcome and ability of any such strategic alternatives to create stockholder value, as well as statements, other than historical facts, that address activities, events or developments that the Company intends, expects, projects, believes or anticipates will or may occur in the future, including statements regarding the Company’s financial condition, liquidity, results of operations and royalty revenues. These statements are often characterized by terminology such as “believes,” “hopes,” “may,” “anticipates,” “should,” “intends,” “plans,” “will,” “expects,” “estimates,” “projects,” “positioned,” “strategy” and similar expressions and are based on assumptions and assessments made in light of management’s experience and perception of historical trends, current conditions, expected future developments and other factors believed to be appropriate. Forward-looking statements in this press release are made as of the date of this press release, and the Company undertakes no duty to update or revise any such statements, whether as a result of new information, future events or otherwise. Forward-looking statements are not guarantees of future performance and are subject to risks and uncertainties, many of which are outside of the Company’s control. Important factors that could cause actual results, developments and business decisions to differ materially from forward-looking statements are described in the sections titled “Risk Factors” in the Company’s filings with the Securities and Exchange Commission, including its most recent Annual Report on Form 10-K and Quarterly Reports on Form 10-Q, as well as reports on Form 8-K, and include the following: whether the Company’s licensees will be successful at commercializing the products that they licensed and acquired from TherapeuticsMD; the Company’s dependence upon third parties for the manufacture and supply the Company’s women’s healthcare products; whether coverage and reimbursement is available for the Company’s products; the outcome of the Company’s ongoing disputes with Mayne Pharma; time and costs associated with winding down the Company’s operations; the Company’s ability to remain listed on Nasdaq; the impact of transitions in the Company’s senior management team; the impact of government regulation, including those resulting from healthcare reform and drug pricing initiatives; whether we are able to protect the proprietary nature of the intellectual property covering the Company’s hormone therapy pharmaceutical products; competition from branded and generic products; and the Company’s ability to continue as a going concern.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Marlan D. Walker</w:t>
        <w:br/>
        <w:t>Chief Executive Officer</w:t>
        <w:br/>
        <w:t>561-961-1900</w:t>
        <w:br/>
        <w:t>IR@TherapeuticsMD.com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Lisa M. Wilson</w:t>
        <w:br/>
        <w:t>In-Site Communications, Inc.</w:t>
        <w:br/>
        <w:t>212-452-2793</w:t>
        <w:br/>
        <w:t>lwilson@insitecony.com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TherapeuticsMD,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1415</Words>
  <Characters>8201</Characters>
  <CharactersWithSpaces>9619</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