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3239-8k_therapeu.htm"/>
      <w:bookmarkStart w:id="1" w:name="ksea02832398k_therapeu"/>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033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March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6_edei--EntityRegistrantName_c2026"/>
      <w:bookmarkEnd w:id="4"/>
      <w:r>
        <w:rPr>
          <w:rFonts w:ascii="Times New Roman;Times;Serif" w:hAnsi="Times New Roman;Times;Serif"/>
          <w:b/>
          <w:i w:val="false"/>
          <w:caps w:val="false"/>
          <w:smallCaps w:val="false"/>
          <w:sz w:val="20"/>
        </w:rPr>
        <w:t>THERAPEUTICSMD,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330"/>
            <w:bookmarkEnd w:id="6"/>
            <w:r>
              <w:rPr>
                <w:rFonts w:ascii="Times New Roman;Times;Serif" w:hAnsi="Times New Roman;Times;Serif"/>
                <w:b/>
                <w:i w:val="false"/>
                <w:caps w:val="false"/>
                <w:smallCaps w:val="false"/>
                <w:sz w:val="20"/>
              </w:rPr>
              <w:t>001-00100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87-0233535</w:t>
            </w:r>
          </w:p>
        </w:tc>
      </w:tr>
      <w:tr>
        <w:trPr/>
        <w:tc>
          <w:tcPr>
            <w:tcW w:w="23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951 Yamato Road, </w:t>
      </w:r>
      <w:bookmarkStart w:id="9" w:name="xdx_905_edei--EntityAddressAddressLine2_"/>
      <w:bookmarkEnd w:id="9"/>
      <w:r>
        <w:rPr>
          <w:rFonts w:ascii="Times New Roman;Times;Serif" w:hAnsi="Times New Roman;Times;Serif"/>
          <w:b/>
          <w:i w:val="false"/>
          <w:caps w:val="false"/>
          <w:smallCaps w:val="false"/>
          <w:sz w:val="20"/>
        </w:rPr>
        <w:t>Suite 220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Boca Raton, </w:t>
      </w:r>
      <w:bookmarkStart w:id="11" w:name="xdx_90D_edei--EntityAddressStateOrProvin"/>
      <w:bookmarkEnd w:id="11"/>
      <w:r>
        <w:rPr>
          <w:rFonts w:ascii="Times New Roman;Times;Serif" w:hAnsi="Times New Roman;Times;Serif"/>
          <w:b/>
          <w:i w:val="false"/>
          <w:caps w:val="false"/>
          <w:smallCaps w:val="false"/>
          <w:sz w:val="20"/>
        </w:rPr>
        <w:t xml:space="preserve">FL </w:t>
      </w:r>
      <w:bookmarkStart w:id="12" w:name="xdx_900_edei--EntityAddressPostalZipCode"/>
      <w:bookmarkEnd w:id="12"/>
      <w:r>
        <w:rPr>
          <w:rFonts w:ascii="Times New Roman;Times;Serif" w:hAnsi="Times New Roman;Times;Serif"/>
          <w:b/>
          <w:i w:val="false"/>
          <w:caps w:val="false"/>
          <w:smallCaps w:val="false"/>
          <w:sz w:val="20"/>
        </w:rPr>
        <w:t>33431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B_edei--CityAreaCode_c20260330__20"/>
      <w:bookmarkEnd w:id="13"/>
      <w:r>
        <w:rPr>
          <w:rFonts w:ascii="Times New Roman;Times;Serif" w:hAnsi="Times New Roman;Times;Serif"/>
          <w:b/>
          <w:i w:val="false"/>
          <w:caps w:val="false"/>
          <w:smallCaps w:val="false"/>
          <w:sz w:val="20"/>
        </w:rPr>
        <w:t xml:space="preserve">561) </w:t>
      </w:r>
      <w:bookmarkStart w:id="14" w:name="xdx_907_edei--LocalPhoneNumber_c20260330"/>
      <w:bookmarkEnd w:id="14"/>
      <w:r>
        <w:rPr>
          <w:rFonts w:ascii="Times New Roman;Times;Serif" w:hAnsi="Times New Roman;Times;Serif"/>
          <w:b/>
          <w:i w:val="false"/>
          <w:caps w:val="false"/>
          <w:smallCaps w:val="false"/>
          <w:sz w:val="20"/>
        </w:rPr>
        <w:t>961-1900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6_edei--WrittenCommunications_c202"/>
            <w:bookmarkEnd w:id="15"/>
            <w:r>
              <w:rPr>
                <w:caps w:val="false"/>
                <w:smallCaps w:val="false"/>
              </w:rPr>
              <w:t>☐</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6_edei--SolicitingMaterial_c202603"/>
            <w:bookmarkEnd w:id="16"/>
            <w:r>
              <w:rPr>
                <w:caps w:val="false"/>
                <w:smallCaps w:val="false"/>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9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7_edei--PreCommencementIssuerTende"/>
            <w:bookmarkEnd w:id="18"/>
            <w:r>
              <w:rPr>
                <w:caps w:val="false"/>
                <w:smallCaps w:val="false"/>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415"/>
        <w:gridCol w:w="60"/>
        <w:gridCol w:w="3905"/>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0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Security12bTitle_c20260330"/>
            <w:bookmarkEnd w:id="19"/>
            <w:r>
              <w:rPr>
                <w:rFonts w:ascii="Times New Roman;Times;Serif" w:hAnsi="Times New Roman;Times;Serif"/>
                <w:b w:val="false"/>
                <w:i w:val="false"/>
                <w:caps w:val="false"/>
                <w:smallCaps w:val="false"/>
                <w:sz w:val="20"/>
              </w:rPr>
              <w:t>Common Stock, par value $0.001 per share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TradingSymbol_c20260330__2"/>
            <w:bookmarkEnd w:id="20"/>
            <w:r>
              <w:rPr>
                <w:rFonts w:ascii="Times New Roman;Times;Serif" w:hAnsi="Times New Roman;Times;Serif"/>
                <w:b w:val="false"/>
                <w:i w:val="false"/>
                <w:caps w:val="false"/>
                <w:smallCaps w:val="false"/>
                <w:sz w:val="20"/>
              </w:rPr>
              <w:t>TXMD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9_edei--SecurityExchangeName_c2026"/>
            <w:bookmarkEnd w:id="21"/>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Results of Operations and Financial Condition.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Item 7.01 of this Current Report on Form 8-K is incorporated in this Item 2.02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Regulation FD Disclosure.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TherapeuticsMD, Inc., a Nevada corporation (the “Company”), issued a press release announcing its financial results for the full year ended December 31, 2025. A copy of the press release is furnished as Exhibit 99.1 to this Current Report on Form 8-K and is incorporated herein by reference.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and the information contained in Exhibit 99.1 is furnished and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 regardless of any general incorporation language in the filing.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and expressly disclaims, any obligation to release publicly any updates or any changes in its expectations or any change in events, conditions, or circumstances on which any forward-looking statement is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Financial Statements and Exhibits.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0"/>
        <w:gridCol w:w="60"/>
        <w:gridCol w:w="9165"/>
      </w:tblGrid>
      <w:tr>
        <w:trPr/>
        <w:tc>
          <w:tcPr>
            <w:tcW w:w="9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5" w:type="dxa"/>
            <w:tcBorders/>
            <w:shd w:fill="CCEEFF" w:val="clear"/>
            <w:tcMar>
              <w:bottom w:w="0" w:type="dxa"/>
            </w:tcMar>
            <w:vAlign w:val="center"/>
          </w:tcPr>
          <w:p>
            <w:pPr>
              <w:pStyle w:val="TableContents"/>
              <w:bidi w:val="0"/>
              <w:spacing w:before="0" w:after="283"/>
              <w:jc w:val="left"/>
              <w:rPr/>
            </w:pPr>
            <w:hyperlink w:anchor="ea028323901ex99-1.htm">
              <w:r>
                <w:rPr>
                  <w:rStyle w:val="InternetLink"/>
                  <w:rFonts w:ascii="Times New Roman;Times;Serif" w:hAnsi="Times New Roman;Times;Serif"/>
                  <w:b w:val="false"/>
                  <w:i w:val="false"/>
                  <w:caps w:val="false"/>
                  <w:smallCaps w:val="false"/>
                  <w:sz w:val="20"/>
                </w:rPr>
                <w:t>Press Release from TherapeuticsMD, Inc., dated March 30, 2026, entitled “TherapeuticsMD Announces Full Year 2025 Financial Results”</w:t>
              </w:r>
            </w:hyperlink>
          </w:p>
        </w:tc>
      </w:tr>
      <w:tr>
        <w:trPr/>
        <w:tc>
          <w:tcPr>
            <w:tcW w:w="9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5" w:type="dxa"/>
            <w:gridSpan w:val="2"/>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(the cover page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2360"/>
        <w:gridCol w:w="2840"/>
      </w:tblGrid>
      <w:tr>
        <w:trPr/>
        <w:tc>
          <w:tcPr>
            <w:tcW w:w="2360" w:type="dxa"/>
            <w:tcBorders/>
            <w:vAlign w:val="center"/>
          </w:tcPr>
          <w:p>
            <w:pPr>
              <w:pStyle w:val="TableContents"/>
              <w:bidi w:val="0"/>
              <w:spacing w:before="0" w:after="283"/>
              <w:jc w:val="left"/>
              <w:rPr/>
            </w:pPr>
            <w:r>
              <w:rPr/>
              <w:t>Date: March 30, 2026    </w:t>
            </w:r>
          </w:p>
        </w:tc>
        <w:tc>
          <w:tcPr>
            <w:tcW w:w="2840" w:type="dxa"/>
            <w:tcBorders/>
            <w:vAlign w:val="center"/>
          </w:tcPr>
          <w:p>
            <w:pPr>
              <w:pStyle w:val="TableContents"/>
              <w:bidi w:val="0"/>
              <w:spacing w:before="0" w:after="283"/>
              <w:jc w:val="left"/>
              <w:rPr/>
            </w:pPr>
            <w:r>
              <w:rPr/>
              <w:t>THERAPEUTICSMD, INC.</w:t>
            </w:r>
          </w:p>
        </w:tc>
      </w:tr>
      <w:tr>
        <w:trPr/>
        <w:tc>
          <w:tcPr>
            <w:tcW w:w="23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2840" w:type="dxa"/>
            <w:tcBorders>
              <w:bottom w:val="single" w:sz="12" w:space="0" w:color="000000"/>
            </w:tcBorders>
            <w:tcMar>
              <w:bottom w:w="28" w:type="dxa"/>
            </w:tcMar>
            <w:vAlign w:val="center"/>
          </w:tcPr>
          <w:p>
            <w:pPr>
              <w:pStyle w:val="TableContents"/>
              <w:bidi w:val="0"/>
              <w:spacing w:before="0" w:after="283"/>
              <w:jc w:val="left"/>
              <w:rPr/>
            </w:pPr>
            <w:r>
              <w:rPr/>
              <w:t>/s/ Marlan Walker</w:t>
            </w:r>
          </w:p>
        </w:tc>
      </w:tr>
      <w:tr>
        <w:trPr/>
        <w:tc>
          <w:tcPr>
            <w:tcW w:w="23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Marlan Walker</w:t>
            </w:r>
          </w:p>
        </w:tc>
      </w:tr>
      <w:tr>
        <w:trPr/>
        <w:tc>
          <w:tcPr>
            <w:tcW w:w="23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8323901ex99-1.htm"/>
      <w:bookmarkStart w:id="24" w:name="ksea028323901ex99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31432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43250" cy="4572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TherapeuticsMD Announces Full Year 2025 Financial Results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BOCA RATON, Fla.--(BUSINESS WIRE)—March 30, 2026 -- TherapeuticsMD, Inc. (“TherapeuticsMD” or the “Company”) (NASDAQ: TXMD), a company that owns rights to pharmaceutical royalties, today reported financial results for the full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2025 Financial Results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from continuing operations was $(0.7) million, or $(0.06) per basic and diluted common share, an improvement of $1.7 million, compared to net loss from continuing operations of $(2.3) million, or $(0.20) per basic and diluted common share, for 2024.</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 Revenues from Continuing Operations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License revenue, primarily from the Mayne License Agreement, totaled $3.0 million during the year ended December 31, 2025, an increase of $1.3 million, or 71.6%, compared to $1.8 million in license revenue during the year ended December 31, 2024. The increase is primarily attributable to changes in sales of licensed products.</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 from Continuing Operations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 for 2025 were $7.4 million, a decrease of $0.5 million, or 5.9%, compared to $7.9 million for 2024. The decrease was primarily attributable to lower impairment charges recognized in 2025 compared to 2024, which were partially offset by higher bonus expense and increased costs related to investor communications.</w:t>
            </w:r>
          </w:p>
        </w:tc>
      </w:tr>
    </w:tbl>
    <w:p>
      <w:pPr>
        <w:pStyle w:val="TextBody"/>
        <w:shd w:fill="FFFFFF" w:val="clear"/>
        <w:bidi w:val="0"/>
        <w:spacing w:before="0" w:after="0"/>
        <w:ind w:left="72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Strategic Alternatives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continues to evaluate a variety of strategic alternatives that may include, but are not limited to, an acquisition, merger, other business combination, sale of assets, or other strategic transactions involving the Company. Although the Company is exploring potential strategic alternatives, there can be no assurance of a transaction, a successful outcome of these efforts, or the form or timing of any such outcome. The Company has not established a timetable for completion of this exploration process and does not intend to disclose further developments unless and until it is determined that disclosure is appropriate or necessary.</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4"/>
        <w:gridCol w:w="199"/>
        <w:gridCol w:w="9962"/>
      </w:tblGrid>
      <w:tr>
        <w:trPr/>
        <w:tc>
          <w:tcPr>
            <w:tcW w:w="44" w:type="dxa"/>
            <w:tcBorders/>
            <w:shd w:fill="FFFFFF" w:val="clear"/>
            <w:vAlign w:val="center"/>
          </w:tcPr>
          <w:p>
            <w:pPr>
              <w:pStyle w:val="TableContents"/>
              <w:bidi w:val="0"/>
              <w:spacing w:before="0" w:after="283"/>
              <w:jc w:val="left"/>
              <w:rPr>
                <w:sz w:val="4"/>
                <w:szCs w:val="4"/>
              </w:rPr>
            </w:pPr>
            <w:r>
              <w:rPr>
                <w:sz w:val="4"/>
                <w:szCs w:val="4"/>
              </w:rPr>
            </w:r>
          </w:p>
        </w:tc>
        <w:tc>
          <w:tcPr>
            <w:tcW w:w="199" w:type="dxa"/>
            <w:tcBorders/>
            <w:shd w:fill="FFFFFF" w:val="clear"/>
            <w:vAlign w:val="center"/>
          </w:tcPr>
          <w:p>
            <w:pPr>
              <w:pStyle w:val="TableContents"/>
              <w:bidi w:val="0"/>
              <w:spacing w:before="0" w:after="283"/>
              <w:jc w:val="left"/>
              <w:rPr/>
            </w:pPr>
            <w:r>
              <w:rPr/>
              <w:t>●</w:t>
            </w:r>
          </w:p>
        </w:tc>
        <w:tc>
          <w:tcPr>
            <w:tcW w:w="996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December 31, 2025, the Company’s cash and cash equivalents totaled $7.5 million.</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TherapeuticsMD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the Company changed its business to become a pharmaceutical royalty company, primarily collecting royalties from its licensees. The Company is no longer engaging in research and development or commercial operations.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by TherapeuticsMD, Inc. may contain forward-looking statements. Forward-looking statements may include, but are not limited to, statements relating to TherapeuticsMD’s objectives, plans and strategies, including the exploration of potential strategic alternatives that may include, but are not limited to, an acquisition, merger, other business combination, sale of assets, or other strategic transactions, and the completion of such a review process and the potential timing, outcome and ability of any such strategic alternatives to create stockholder value, as well as statements, other than historical facts, that address activities, events or developments that the Company intends, expects, projects, believes or anticipates will or may occur in the future, including statements regarding the Company’s financial condition, liquidity, results of operations and royalty revenues. These statements are often characterized by terminology such as “believes,” “hopes,” “may,” “anticipates,” “should,” “intends,” “plans,” “will,” “expects,” “estimates,” “projects,” “positioned,” “strategy” and similar expressions and are based on assumptions and assessments made in light of management’s experience and perception of historical trends, current conditions, expected future developments and other factors believed to be appropriate. Forward-looking statements in this press release are made as of the date of this press release, and the Company undertakes no duty to update or revise any such statements, whether as a result of new information, future events or otherwise. Forward-looking statements are not guarantees of future performance and are subject to risks and uncertainties, many of which are outside of the Company’s control. Important factors that could cause actual results, developments and business decisions to differ materially from forward-looking statements are described in the sections titled “Risk Factors” in the Company’s filings with the Securities and Exchange Commission, including its most recent Annual Report on Form 10-K and Quarterly Reports on Form 10-Q, as well as reports on Form 8-K, and include the following: whether the Company’s licensees will be successful at commercializing the products that they licensed and acquired from TherapeuticsMD; the Company’s dependence upon third parties for the manufacture and supply the Company’s women’s healthcare products; whether coverage and reimbursement is available for the Company’s products; the outcome of the Company’s ongoing disputes with Mayne Pharma; time and costs associated with winding down the Company’s operations;; the Company’s ability to remain listed on Nasdaq; the impact of transitions in the Company’s senior management team; the impact of government regulation, including those resulting from healthcare reform and drug pricing initiatives; whether we are able to protect the proprietary nature of the intellectual property covering the Company’s hormone therapy pharmaceutical products; competition from branded and generic products; and the Company’s ability to continue as a going concern.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Marlan D. Walker</w:t>
        <w:br/>
        <w:t>Chief Executive Officer</w:t>
        <w:br/>
        <w:t>561-961-1900</w:t>
        <w:br/>
        <w:t>IR@TherapeuticsMD.com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M. Wilson</w:t>
        <w:br/>
        <w:t>In-Site Communications, Inc.</w:t>
        <w:br/>
        <w:t>212-452-2793</w:t>
        <w:br/>
        <w:t>lwilson@insitecony.com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TherapeuticsMD,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1446</Words>
  <Characters>8374</Characters>
  <CharactersWithSpaces>9836</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